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193D28E7"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CC547F">
        <w:rPr>
          <w:bCs/>
          <w:noProof w:val="0"/>
          <w:sz w:val="24"/>
          <w:szCs w:val="24"/>
        </w:rPr>
        <w:t>8</w:t>
      </w:r>
      <w:r w:rsidRPr="00B266B0">
        <w:rPr>
          <w:bCs/>
          <w:noProof w:val="0"/>
          <w:sz w:val="24"/>
          <w:szCs w:val="24"/>
        </w:rPr>
        <w:tab/>
      </w:r>
      <w:r w:rsidR="00B50369">
        <w:rPr>
          <w:bCs/>
          <w:noProof w:val="0"/>
          <w:sz w:val="24"/>
          <w:szCs w:val="24"/>
        </w:rPr>
        <w:t>R2-2</w:t>
      </w:r>
      <w:r w:rsidR="00F74086">
        <w:rPr>
          <w:bCs/>
          <w:noProof w:val="0"/>
          <w:sz w:val="24"/>
          <w:szCs w:val="24"/>
        </w:rPr>
        <w:t>4</w:t>
      </w:r>
      <w:r w:rsidR="00511859">
        <w:rPr>
          <w:bCs/>
          <w:noProof w:val="0"/>
          <w:sz w:val="24"/>
          <w:szCs w:val="24"/>
        </w:rPr>
        <w:t>10485</w:t>
      </w:r>
      <w:bookmarkStart w:id="0" w:name="_GoBack"/>
      <w:bookmarkEnd w:id="0"/>
    </w:p>
    <w:p w14:paraId="11776FA6" w14:textId="4B83423F" w:rsidR="00A209D6" w:rsidRPr="00465587" w:rsidRDefault="00953A6C" w:rsidP="00A209D6">
      <w:pPr>
        <w:pStyle w:val="Header"/>
        <w:tabs>
          <w:tab w:val="right" w:pos="9639"/>
        </w:tabs>
        <w:rPr>
          <w:bCs/>
          <w:sz w:val="24"/>
          <w:szCs w:val="24"/>
          <w:lang w:eastAsia="zh-CN"/>
        </w:rPr>
      </w:pPr>
      <w:r>
        <w:rPr>
          <w:bCs/>
          <w:sz w:val="24"/>
          <w:szCs w:val="24"/>
          <w:lang w:eastAsia="zh-CN"/>
        </w:rPr>
        <w:t>Orlando, Florida, USA</w:t>
      </w:r>
      <w:r w:rsidR="003C2C5D">
        <w:rPr>
          <w:bCs/>
          <w:sz w:val="24"/>
          <w:szCs w:val="24"/>
          <w:lang w:eastAsia="zh-CN"/>
        </w:rPr>
        <w:t xml:space="preserve">, </w:t>
      </w:r>
      <w:r w:rsidR="009A56C3">
        <w:rPr>
          <w:bCs/>
          <w:sz w:val="24"/>
          <w:szCs w:val="24"/>
          <w:lang w:eastAsia="zh-CN"/>
        </w:rPr>
        <w:t>1</w:t>
      </w:r>
      <w:r w:rsidR="00CC547F">
        <w:rPr>
          <w:bCs/>
          <w:sz w:val="24"/>
          <w:szCs w:val="24"/>
          <w:lang w:eastAsia="zh-CN"/>
        </w:rPr>
        <w:t>8</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sidR="00646509">
        <w:rPr>
          <w:bCs/>
          <w:sz w:val="24"/>
          <w:szCs w:val="24"/>
          <w:lang w:eastAsia="zh-CN"/>
        </w:rPr>
        <w:t xml:space="preserve">– </w:t>
      </w:r>
      <w:r w:rsidR="00CC547F">
        <w:rPr>
          <w:bCs/>
          <w:sz w:val="24"/>
          <w:szCs w:val="24"/>
          <w:lang w:eastAsia="zh-CN"/>
        </w:rPr>
        <w:t>22</w:t>
      </w:r>
      <w:r w:rsidR="00CC547F" w:rsidRPr="00CC547F">
        <w:rPr>
          <w:bCs/>
          <w:sz w:val="24"/>
          <w:szCs w:val="24"/>
          <w:vertAlign w:val="superscript"/>
          <w:lang w:eastAsia="zh-CN"/>
        </w:rPr>
        <w:t>nd</w:t>
      </w:r>
      <w:r w:rsidR="004624C7">
        <w:rPr>
          <w:bCs/>
          <w:sz w:val="24"/>
          <w:szCs w:val="24"/>
          <w:lang w:eastAsia="zh-CN"/>
        </w:rPr>
        <w:t xml:space="preserve"> </w:t>
      </w:r>
      <w:r w:rsidR="00CC547F">
        <w:rPr>
          <w:bCs/>
          <w:sz w:val="24"/>
          <w:szCs w:val="24"/>
          <w:lang w:eastAsia="zh-CN"/>
        </w:rPr>
        <w:t>November</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54F634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3469">
        <w:rPr>
          <w:rFonts w:cs="Arial"/>
          <w:b/>
          <w:bCs/>
          <w:sz w:val="24"/>
        </w:rPr>
        <w:t>8.8.</w:t>
      </w:r>
      <w:r w:rsidR="00CC547F">
        <w:rPr>
          <w:rFonts w:cs="Arial"/>
          <w:b/>
          <w:bCs/>
          <w:sz w:val="24"/>
        </w:rPr>
        <w:t>6</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F88DCF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C547F">
        <w:rPr>
          <w:rFonts w:eastAsia="SimSun"/>
          <w:b/>
          <w:bCs/>
          <w:sz w:val="24"/>
          <w:szCs w:val="20"/>
          <w:lang w:val="en-GB" w:eastAsia="en-US"/>
        </w:rPr>
        <w:t>Further issues on E-UTRAN to NR NTN idle mode mobility</w:t>
      </w:r>
    </w:p>
    <w:p w14:paraId="1F147C23" w14:textId="3B0E81DD"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5490C">
        <w:rPr>
          <w:rFonts w:eastAsia="SimSun"/>
          <w:b/>
          <w:bCs/>
          <w:sz w:val="24"/>
          <w:szCs w:val="20"/>
          <w:lang w:val="en-GB" w:eastAsia="en-US"/>
        </w:rPr>
        <w:t xml:space="preserve">LTE_TN_NR_NTN_mob-Core, </w:t>
      </w:r>
      <w:r w:rsidR="009106C2">
        <w:rPr>
          <w:rFonts w:eastAsia="SimSun"/>
          <w:b/>
          <w:bCs/>
          <w:sz w:val="24"/>
          <w:szCs w:val="20"/>
          <w:lang w:val="en-GB" w:eastAsia="en-US"/>
        </w:rPr>
        <w:t>NR_NTN_Ph3</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24AD6355" w14:textId="1A022C6A" w:rsidR="00953A6C" w:rsidRDefault="00953A6C" w:rsidP="00953A6C">
      <w:r>
        <w:t xml:space="preserve">In RAN#103 the LTE-part of the WID NR NTN Phase in Rel-19 was agreed [1]: </w:t>
      </w:r>
    </w:p>
    <w:tbl>
      <w:tblPr>
        <w:tblStyle w:val="TableGrid"/>
        <w:tblW w:w="0" w:type="auto"/>
        <w:tblLook w:val="04A0" w:firstRow="1" w:lastRow="0" w:firstColumn="1" w:lastColumn="0" w:noHBand="0" w:noVBand="1"/>
      </w:tblPr>
      <w:tblGrid>
        <w:gridCol w:w="9631"/>
      </w:tblGrid>
      <w:tr w:rsidR="00953A6C" w14:paraId="7E6239F3" w14:textId="77777777" w:rsidTr="000500C4">
        <w:tc>
          <w:tcPr>
            <w:tcW w:w="9631" w:type="dxa"/>
          </w:tcPr>
          <w:p w14:paraId="200C4141" w14:textId="77777777" w:rsidR="00953A6C" w:rsidRPr="00C702D5" w:rsidRDefault="00953A6C" w:rsidP="000500C4">
            <w:pPr>
              <w:spacing w:before="120" w:after="0" w:line="276" w:lineRule="auto"/>
              <w:rPr>
                <w:rFonts w:ascii="Times New Roman" w:hAnsi="Times New Roman" w:cs="Times New Roman"/>
                <w:bCs/>
              </w:rPr>
            </w:pPr>
            <w:r w:rsidRPr="00C702D5">
              <w:rPr>
                <w:rFonts w:ascii="Times New Roman" w:hAnsi="Times New Roman" w:cs="Times New Roman"/>
                <w:bCs/>
              </w:rPr>
              <w:t xml:space="preserve">The </w:t>
            </w:r>
            <w:r w:rsidRPr="00C702D5">
              <w:rPr>
                <w:rFonts w:ascii="Times New Roman" w:hAnsi="Times New Roman" w:cs="Times New Roman"/>
                <w:bCs/>
                <w:lang w:eastAsia="zh-CN"/>
              </w:rPr>
              <w:t xml:space="preserve">work item aims at specifying support for the following </w:t>
            </w:r>
            <w:r w:rsidRPr="00C702D5">
              <w:rPr>
                <w:rFonts w:ascii="Times New Roman" w:hAnsi="Times New Roman" w:cs="Times New Roman"/>
                <w:bCs/>
              </w:rPr>
              <w:t>objectives:</w:t>
            </w:r>
          </w:p>
          <w:p w14:paraId="113020AD" w14:textId="77777777" w:rsidR="00953A6C" w:rsidRPr="00C702D5" w:rsidRDefault="00953A6C" w:rsidP="000500C4">
            <w:pPr>
              <w:pStyle w:val="ListParagraph"/>
              <w:widowControl w:val="0"/>
              <w:numPr>
                <w:ilvl w:val="0"/>
                <w:numId w:val="42"/>
              </w:numPr>
              <w:spacing w:after="120" w:line="276" w:lineRule="auto"/>
              <w:ind w:left="714" w:hanging="357"/>
              <w:jc w:val="both"/>
              <w:rPr>
                <w:rFonts w:ascii="Times New Roman" w:hAnsi="Times New Roman" w:cs="Times New Roman"/>
                <w:sz w:val="20"/>
                <w:szCs w:val="20"/>
              </w:rPr>
            </w:pPr>
            <w:r w:rsidRPr="00C702D5">
              <w:rPr>
                <w:rFonts w:ascii="Times New Roman" w:hAnsi="Times New Roman" w:cs="Times New Roman"/>
                <w:sz w:val="20"/>
                <w:szCs w:val="20"/>
              </w:rPr>
              <w:t>idle mode mobility based on cell reselection from E-UTRA TN to NR NTN, where E-UTRA TN provides satellite information for NR NTN neighbor cells in a System Information Block. [RAN2]</w:t>
            </w:r>
          </w:p>
        </w:tc>
      </w:tr>
    </w:tbl>
    <w:p w14:paraId="1FCD5E75" w14:textId="77777777" w:rsidR="00953A6C" w:rsidRDefault="00953A6C" w:rsidP="00F61EF6"/>
    <w:p w14:paraId="1A697110" w14:textId="483F0B65" w:rsidR="00F61EF6" w:rsidRDefault="00C702D5" w:rsidP="00F61EF6">
      <w:r>
        <w:t xml:space="preserve">In RAN#103 the </w:t>
      </w:r>
      <w:r w:rsidR="00363517">
        <w:t>NR</w:t>
      </w:r>
      <w:r>
        <w:t xml:space="preserve">-part of </w:t>
      </w:r>
      <w:r w:rsidR="00363517">
        <w:t xml:space="preserve">the </w:t>
      </w:r>
      <w:r>
        <w:t>WID</w:t>
      </w:r>
      <w:r w:rsidR="00363517">
        <w:t xml:space="preserve"> NR NTN Phase in</w:t>
      </w:r>
      <w:r>
        <w:t xml:space="preserve"> Rel-19</w:t>
      </w:r>
      <w:r w:rsidR="002653DD">
        <w:t xml:space="preserve"> was agreed</w:t>
      </w:r>
      <w:r w:rsidR="00CC547F">
        <w:t xml:space="preserve"> </w:t>
      </w:r>
      <w:r w:rsidR="002653DD">
        <w:t>[</w:t>
      </w:r>
      <w:r w:rsidR="00953A6C">
        <w:t>2</w:t>
      </w:r>
      <w:r w:rsidR="002653DD">
        <w:t>]</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7FC7D39C" w14:textId="6F4941EA" w:rsidR="00BA4FA6" w:rsidRPr="00BA4FA6" w:rsidRDefault="00BA4FA6" w:rsidP="00BA4FA6">
            <w:pPr>
              <w:overflowPunct w:val="0"/>
              <w:autoSpaceDE w:val="0"/>
              <w:autoSpaceDN w:val="0"/>
              <w:adjustRightInd w:val="0"/>
              <w:spacing w:after="0" w:line="276" w:lineRule="auto"/>
              <w:textAlignment w:val="baseline"/>
              <w:rPr>
                <w:rFonts w:ascii="Times New Roman" w:eastAsia="Calibri" w:hAnsi="Times New Roman" w:cs="Times New Roman"/>
                <w:lang w:eastAsia="ko-KR"/>
              </w:rPr>
            </w:pPr>
            <w:bookmarkStart w:id="1" w:name="_Hlk153358806"/>
            <w:r w:rsidRPr="00BA4FA6">
              <w:rPr>
                <w:rFonts w:ascii="Times New Roman" w:eastAsia="Malgun Gothic" w:hAnsi="Times New Roman" w:cs="Times New Roman"/>
                <w:lang w:eastAsia="ko-KR"/>
              </w:rPr>
              <w:t>4. Support of regenerative payload [RAN3, RAN2, RAN4]</w:t>
            </w:r>
          </w:p>
          <w:p w14:paraId="300E13B7" w14:textId="77777777" w:rsidR="00BA4FA6" w:rsidRPr="009431DD" w:rsidRDefault="00BA4FA6" w:rsidP="00BA4FA6">
            <w:pPr>
              <w:pStyle w:val="ListParagraph"/>
              <w:widowControl w:val="0"/>
              <w:numPr>
                <w:ilvl w:val="0"/>
                <w:numId w:val="42"/>
              </w:numPr>
              <w:spacing w:line="276" w:lineRule="auto"/>
              <w:jc w:val="both"/>
              <w:rPr>
                <w:rFonts w:ascii="Times New Roman" w:hAnsi="Times New Roman"/>
                <w:sz w:val="20"/>
                <w:szCs w:val="20"/>
              </w:rPr>
            </w:pPr>
            <w:r w:rsidRPr="009431DD">
              <w:rPr>
                <w:rFonts w:ascii="Times New Roman" w:hAnsi="Times New Roman"/>
                <w:sz w:val="20"/>
                <w:szCs w:val="20"/>
              </w:rPr>
              <w:t>Specify the support of gNB on board in TS 38.300</w:t>
            </w:r>
          </w:p>
          <w:p w14:paraId="271719B1" w14:textId="77777777" w:rsidR="00BA4FA6" w:rsidRPr="009431DD" w:rsidRDefault="00BA4FA6" w:rsidP="00BA4FA6">
            <w:pPr>
              <w:pStyle w:val="ListParagraph"/>
              <w:widowControl w:val="0"/>
              <w:numPr>
                <w:ilvl w:val="0"/>
                <w:numId w:val="42"/>
              </w:numPr>
              <w:spacing w:line="276" w:lineRule="auto"/>
              <w:jc w:val="both"/>
              <w:rPr>
                <w:rFonts w:ascii="Times New Roman" w:hAnsi="Times New Roman"/>
                <w:sz w:val="20"/>
                <w:szCs w:val="20"/>
              </w:rPr>
            </w:pPr>
            <w:r w:rsidRPr="009431DD">
              <w:rPr>
                <w:rFonts w:ascii="Times New Roman" w:hAnsi="Times New Roman"/>
                <w:sz w:val="20"/>
                <w:szCs w:val="20"/>
              </w:rPr>
              <w:t>Specify, if needed, any necessary enhancements related to the intra and inter-gNB mobility, especially for Xn interface over feeder link or over ISL. [RAN3]</w:t>
            </w:r>
          </w:p>
          <w:p w14:paraId="3F5AE005" w14:textId="0F9D9D15" w:rsidR="00C702D5" w:rsidRPr="00BA4FA6" w:rsidRDefault="00BA4FA6" w:rsidP="00BA4FA6">
            <w:pPr>
              <w:pStyle w:val="ListParagraph"/>
              <w:widowControl w:val="0"/>
              <w:numPr>
                <w:ilvl w:val="0"/>
                <w:numId w:val="42"/>
              </w:numPr>
              <w:spacing w:line="276" w:lineRule="auto"/>
              <w:jc w:val="both"/>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bookmarkEnd w:id="1"/>
          </w:p>
        </w:tc>
      </w:tr>
    </w:tbl>
    <w:p w14:paraId="553BDAC7" w14:textId="2AC86987" w:rsidR="00953A6C" w:rsidRDefault="00953A6C" w:rsidP="00F00A10"/>
    <w:p w14:paraId="66CEE32F" w14:textId="200FFFDA" w:rsidR="00F00A10" w:rsidRPr="00F97E01" w:rsidRDefault="00C702D5" w:rsidP="00F00A10">
      <w:pPr>
        <w:rPr>
          <w:lang w:eastAsia="ko-KR"/>
        </w:rPr>
      </w:pPr>
      <w:r>
        <w:t>In this contribution, we pro</w:t>
      </w:r>
      <w:r w:rsidR="00CC0591">
        <w:t>vide our views on</w:t>
      </w:r>
      <w:r w:rsidR="00CC547F">
        <w:t xml:space="preserve"> E-UTRAN to NR NTN idle mode mobility as well as some views on</w:t>
      </w:r>
      <w:r w:rsidR="00CC0591">
        <w:t xml:space="preserve"> </w:t>
      </w:r>
      <w:r w:rsidR="00703469">
        <w:t>regenerative payload for NR NTN</w:t>
      </w:r>
      <w:r>
        <w:t xml:space="preserve">. </w:t>
      </w:r>
    </w:p>
    <w:p w14:paraId="6F441B4F" w14:textId="7AED6008" w:rsidR="00033328" w:rsidRDefault="00DC6A61" w:rsidP="00E36FCC">
      <w:pPr>
        <w:pStyle w:val="Heading1"/>
      </w:pPr>
      <w:r>
        <w:t>Discussion</w:t>
      </w:r>
    </w:p>
    <w:p w14:paraId="401FE800" w14:textId="775EB6AE" w:rsidR="00AB7C3E" w:rsidRDefault="00AB7C3E" w:rsidP="00363517">
      <w:pPr>
        <w:rPr>
          <w:lang w:val="en-GB" w:eastAsia="en-US"/>
        </w:rPr>
      </w:pPr>
    </w:p>
    <w:p w14:paraId="7841CF4E" w14:textId="669E767D" w:rsidR="00901704" w:rsidRDefault="00953A6C" w:rsidP="00901704">
      <w:pPr>
        <w:pStyle w:val="Heading2"/>
      </w:pPr>
      <w:r>
        <w:t>Redirection</w:t>
      </w:r>
    </w:p>
    <w:p w14:paraId="430A63D2" w14:textId="01A7DEEA" w:rsidR="00953A6C" w:rsidRDefault="00953A6C" w:rsidP="00363517">
      <w:pPr>
        <w:rPr>
          <w:lang w:val="en-GB" w:eastAsia="en-US"/>
        </w:rPr>
      </w:pPr>
      <w:r>
        <w:rPr>
          <w:lang w:val="en-GB" w:eastAsia="en-US"/>
        </w:rPr>
        <w:t xml:space="preserve">Re-direction is a key feature of 3GPP cellular networks that allows a network to </w:t>
      </w:r>
      <w:r w:rsidR="000E505B">
        <w:rPr>
          <w:lang w:val="en-GB" w:eastAsia="en-US"/>
        </w:rPr>
        <w:t xml:space="preserve">release a UE to another frequency for the UE to perform idle mode cell selection on that frequency. It is often used to get a UE to connect to another RAT without the need for connected mode handovers, which is often challenging to implement. </w:t>
      </w:r>
    </w:p>
    <w:p w14:paraId="47F32C3A" w14:textId="67D13577" w:rsidR="00AB7C3E" w:rsidRDefault="00DB4164" w:rsidP="00363517">
      <w:pPr>
        <w:rPr>
          <w:lang w:val="en-GB" w:eastAsia="en-US"/>
        </w:rPr>
      </w:pPr>
      <w:r>
        <w:rPr>
          <w:lang w:val="en-GB" w:eastAsia="en-US"/>
        </w:rPr>
        <w:t xml:space="preserve">In RAN2#127bis, re-direction between TN and NTN was discussed in the context of E-UTRAN to NR NTN mobility. Some companies stated that re-direction cannot be supported without capabilities, while other stated that it shall be considered supported if a UE supports NR NTN. In fact, as far as we understand, re-direction from NR TN to NR NTN was never discussed. </w:t>
      </w:r>
    </w:p>
    <w:p w14:paraId="09B7647E" w14:textId="77777777" w:rsidR="00DB4164" w:rsidRDefault="00DB4164" w:rsidP="00DB4164">
      <w:pPr>
        <w:rPr>
          <w:lang w:val="en-GB" w:eastAsia="en-US"/>
        </w:rPr>
      </w:pPr>
      <w:r>
        <w:rPr>
          <w:lang w:val="en-GB" w:eastAsia="en-US"/>
        </w:rPr>
        <w:t xml:space="preserve">For NTN, connected mode handovers from TN to NTN are supported both for NR NTN and eMTC since Rel-17, although the connected mode measurements does not have any requirements. However, connected mode handovers face difficulties as it relies on either Xn or NG-based handovers. This may be difficult and costly to implement. This means that at least for early mobility and integration between TN and NTN, re-direction is much less costly yet important type of mobility. </w:t>
      </w:r>
    </w:p>
    <w:p w14:paraId="5B96F6A9" w14:textId="77777777" w:rsidR="00DB4164" w:rsidRPr="00F4579A" w:rsidRDefault="00DB4164" w:rsidP="00DB4164">
      <w:pPr>
        <w:rPr>
          <w:b/>
          <w:lang w:val="en-GB" w:eastAsia="en-US"/>
        </w:rPr>
      </w:pPr>
      <w:r>
        <w:rPr>
          <w:b/>
          <w:lang w:val="en-GB" w:eastAsia="en-US"/>
        </w:rPr>
        <w:lastRenderedPageBreak/>
        <w:t>Observation 1</w:t>
      </w:r>
      <w:r w:rsidRPr="00F4579A">
        <w:rPr>
          <w:b/>
          <w:lang w:val="en-GB" w:eastAsia="en-US"/>
        </w:rPr>
        <w:t xml:space="preserve">: </w:t>
      </w:r>
      <w:r>
        <w:rPr>
          <w:b/>
          <w:lang w:val="en-GB" w:eastAsia="en-US"/>
        </w:rPr>
        <w:t xml:space="preserve">Re-direction is a key type of mobility, especially for mobility between RATs. </w:t>
      </w:r>
      <w:r w:rsidRPr="00F4579A">
        <w:rPr>
          <w:b/>
          <w:lang w:val="en-GB" w:eastAsia="en-US"/>
        </w:rPr>
        <w:t xml:space="preserve"> </w:t>
      </w:r>
    </w:p>
    <w:p w14:paraId="498196C6" w14:textId="77777777" w:rsidR="00DB4164" w:rsidRPr="00DB4164" w:rsidRDefault="00DB4164" w:rsidP="00DB4164">
      <w:pPr>
        <w:rPr>
          <w:b/>
          <w:lang w:val="en-GB" w:eastAsia="en-US"/>
        </w:rPr>
      </w:pPr>
      <w:r>
        <w:rPr>
          <w:b/>
          <w:lang w:val="en-GB" w:eastAsia="en-US"/>
        </w:rPr>
        <w:t>Observation 2</w:t>
      </w:r>
      <w:r w:rsidRPr="00F4579A">
        <w:rPr>
          <w:b/>
          <w:lang w:val="en-GB" w:eastAsia="en-US"/>
        </w:rPr>
        <w:t xml:space="preserve">: </w:t>
      </w:r>
      <w:r>
        <w:rPr>
          <w:b/>
          <w:lang w:val="en-GB" w:eastAsia="en-US"/>
        </w:rPr>
        <w:t xml:space="preserve">Re-direction to NTN is an important type of mobility for early TN-NTN networks. </w:t>
      </w:r>
      <w:r w:rsidRPr="00F4579A">
        <w:rPr>
          <w:b/>
          <w:lang w:val="en-GB" w:eastAsia="en-US"/>
        </w:rPr>
        <w:t xml:space="preserve"> </w:t>
      </w:r>
    </w:p>
    <w:p w14:paraId="7DAB5E05" w14:textId="133094D1" w:rsidR="00DB4164" w:rsidRDefault="00DB4164" w:rsidP="00363517">
      <w:pPr>
        <w:rPr>
          <w:lang w:val="en-GB" w:eastAsia="en-US"/>
        </w:rPr>
      </w:pPr>
      <w:r>
        <w:rPr>
          <w:lang w:val="en-GB" w:eastAsia="en-US"/>
        </w:rPr>
        <w:t>The procedure for re-direction</w:t>
      </w:r>
      <w:r w:rsidR="00086ED6">
        <w:rPr>
          <w:lang w:val="en-GB" w:eastAsia="en-US"/>
        </w:rPr>
        <w:t xml:space="preserve"> from NR TN to NR NTN as well as E-UTRAN to NR NTN</w:t>
      </w:r>
      <w:r>
        <w:rPr>
          <w:lang w:val="en-GB" w:eastAsia="en-US"/>
        </w:rPr>
        <w:t xml:space="preserve"> in our vi</w:t>
      </w:r>
      <w:r w:rsidR="00E64ECF">
        <w:rPr>
          <w:lang w:val="en-GB" w:eastAsia="en-US"/>
        </w:rPr>
        <w:t xml:space="preserve">ew would be as follows for NTN as seen in Figure </w:t>
      </w:r>
      <w:r w:rsidR="00DC740C">
        <w:rPr>
          <w:lang w:val="en-GB" w:eastAsia="en-US"/>
        </w:rPr>
        <w:t>1</w:t>
      </w:r>
      <w:r w:rsidR="00E64ECF">
        <w:rPr>
          <w:lang w:val="en-GB" w:eastAsia="en-US"/>
        </w:rPr>
        <w:t xml:space="preserve">. </w:t>
      </w:r>
    </w:p>
    <w:p w14:paraId="37C4E09B" w14:textId="77777777" w:rsidR="00271D08" w:rsidRDefault="00D76D31" w:rsidP="00271D08">
      <w:pPr>
        <w:keepNext/>
        <w:jc w:val="center"/>
      </w:pPr>
      <w:r>
        <w:rPr>
          <w:lang w:val="en-GB" w:eastAsia="en-US"/>
        </w:rPr>
        <w:pict w14:anchorId="60C0A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52pt">
            <v:imagedata r:id="rId8" o:title="Figure 1"/>
          </v:shape>
        </w:pict>
      </w:r>
    </w:p>
    <w:p w14:paraId="7007C520" w14:textId="4D4B1809" w:rsidR="00E64ECF" w:rsidRPr="00C368CB" w:rsidRDefault="00271D08" w:rsidP="00271D08">
      <w:pPr>
        <w:pStyle w:val="Caption"/>
        <w:jc w:val="center"/>
        <w:rPr>
          <w:i w:val="0"/>
          <w:color w:val="auto"/>
          <w:lang w:val="en-GB" w:eastAsia="en-US"/>
        </w:rPr>
      </w:pPr>
      <w:r w:rsidRPr="00C368CB">
        <w:rPr>
          <w:i w:val="0"/>
          <w:color w:val="auto"/>
        </w:rPr>
        <w:t xml:space="preserve">Figure </w:t>
      </w:r>
      <w:r w:rsidRPr="00C368CB">
        <w:rPr>
          <w:i w:val="0"/>
          <w:color w:val="auto"/>
        </w:rPr>
        <w:fldChar w:fldCharType="begin"/>
      </w:r>
      <w:r w:rsidRPr="00C368CB">
        <w:rPr>
          <w:i w:val="0"/>
          <w:color w:val="auto"/>
        </w:rPr>
        <w:instrText xml:space="preserve"> SEQ Figure \* ARABIC </w:instrText>
      </w:r>
      <w:r w:rsidRPr="00C368CB">
        <w:rPr>
          <w:i w:val="0"/>
          <w:color w:val="auto"/>
        </w:rPr>
        <w:fldChar w:fldCharType="separate"/>
      </w:r>
      <w:r w:rsidRPr="00C368CB">
        <w:rPr>
          <w:i w:val="0"/>
          <w:noProof/>
          <w:color w:val="auto"/>
        </w:rPr>
        <w:t>1</w:t>
      </w:r>
      <w:r w:rsidRPr="00C368CB">
        <w:rPr>
          <w:i w:val="0"/>
          <w:color w:val="auto"/>
        </w:rPr>
        <w:fldChar w:fldCharType="end"/>
      </w:r>
      <w:r w:rsidRPr="00C368CB">
        <w:rPr>
          <w:i w:val="0"/>
          <w:color w:val="auto"/>
        </w:rPr>
        <w:t xml:space="preserve">. </w:t>
      </w:r>
      <w:r w:rsidR="00C368CB" w:rsidRPr="00C368CB">
        <w:rPr>
          <w:i w:val="0"/>
          <w:color w:val="auto"/>
        </w:rPr>
        <w:t xml:space="preserve">Intra-RAT and inter-RAT redirection to NR NTN. </w:t>
      </w:r>
    </w:p>
    <w:p w14:paraId="4356344D" w14:textId="6AB54052" w:rsidR="00DB4164" w:rsidRDefault="00DB4164" w:rsidP="00363517">
      <w:pPr>
        <w:rPr>
          <w:lang w:val="en-GB" w:eastAsia="en-US"/>
        </w:rPr>
      </w:pPr>
      <w:r>
        <w:rPr>
          <w:lang w:val="en-GB" w:eastAsia="en-US"/>
        </w:rPr>
        <w:t>1. eNB/gNB makes a decision to re-direct the UE to NTN. This can for instance be determined based on knowledge of satellite coverage,</w:t>
      </w:r>
      <w:r w:rsidR="00B57460">
        <w:rPr>
          <w:lang w:val="en-GB" w:eastAsia="en-US"/>
        </w:rPr>
        <w:t xml:space="preserve"> for instance in a rural network. The network may for instance based on measurement reports determine that both serving and neighbouring TN cells all offer poor coverage, and based upon this the eNB/gNB re-directs the UE. </w:t>
      </w:r>
    </w:p>
    <w:p w14:paraId="4671808D" w14:textId="29BDC9CF" w:rsidR="00B57460" w:rsidRDefault="00B57460" w:rsidP="00363517">
      <w:pPr>
        <w:rPr>
          <w:lang w:val="en-GB" w:eastAsia="en-US"/>
        </w:rPr>
      </w:pPr>
      <w:r>
        <w:rPr>
          <w:lang w:val="en-GB" w:eastAsia="en-US"/>
        </w:rPr>
        <w:t xml:space="preserve">The network is made aware of the support for re-direction based on basic support of NR NTN, which is indicated capabilities. </w:t>
      </w:r>
    </w:p>
    <w:p w14:paraId="70F3CCA8" w14:textId="13D49961" w:rsidR="00B57460" w:rsidRDefault="00B57460" w:rsidP="00363517">
      <w:pPr>
        <w:rPr>
          <w:lang w:val="en-GB" w:eastAsia="en-US"/>
        </w:rPr>
      </w:pPr>
      <w:r>
        <w:rPr>
          <w:lang w:val="en-GB" w:eastAsia="en-US"/>
        </w:rPr>
        <w:t xml:space="preserve">2. eNB/gNB sends the </w:t>
      </w:r>
      <w:r w:rsidRPr="00B57460">
        <w:rPr>
          <w:i/>
          <w:lang w:val="en-GB" w:eastAsia="en-US"/>
        </w:rPr>
        <w:t>RRCRelease</w:t>
      </w:r>
      <w:r>
        <w:rPr>
          <w:lang w:val="en-GB" w:eastAsia="en-US"/>
        </w:rPr>
        <w:t>/</w:t>
      </w:r>
      <w:r w:rsidRPr="00B57460">
        <w:rPr>
          <w:i/>
          <w:lang w:val="en-GB" w:eastAsia="en-US"/>
        </w:rPr>
        <w:t>RRCConnectionRelease</w:t>
      </w:r>
      <w:r>
        <w:rPr>
          <w:lang w:val="en-GB" w:eastAsia="en-US"/>
        </w:rPr>
        <w:t xml:space="preserve"> including the </w:t>
      </w:r>
      <w:r w:rsidRPr="00B57460">
        <w:rPr>
          <w:i/>
          <w:lang w:val="en-GB" w:eastAsia="en-US"/>
        </w:rPr>
        <w:t>redirectionCarrierInfo</w:t>
      </w:r>
      <w:r>
        <w:rPr>
          <w:lang w:val="en-GB" w:eastAsia="en-US"/>
        </w:rPr>
        <w:t xml:space="preserve"> along with some assistance information specific to NR. </w:t>
      </w:r>
    </w:p>
    <w:p w14:paraId="5E0CD529" w14:textId="6FB1A078" w:rsidR="00B57460" w:rsidRDefault="00B57460" w:rsidP="00363517">
      <w:pPr>
        <w:rPr>
          <w:lang w:val="en-GB" w:eastAsia="en-US"/>
        </w:rPr>
      </w:pPr>
      <w:r>
        <w:rPr>
          <w:lang w:val="en-GB" w:eastAsia="en-US"/>
        </w:rPr>
        <w:t>3. The UE</w:t>
      </w:r>
      <w:r w:rsidR="00050715">
        <w:rPr>
          <w:lang w:val="en-GB" w:eastAsia="en-US"/>
        </w:rPr>
        <w:t xml:space="preserve"> performs cell selection and</w:t>
      </w:r>
      <w:r>
        <w:rPr>
          <w:lang w:val="en-GB" w:eastAsia="en-US"/>
        </w:rPr>
        <w:t xml:space="preserve"> attempts to find a suitable cell according to the </w:t>
      </w:r>
      <w:r w:rsidRPr="00050715">
        <w:rPr>
          <w:i/>
          <w:lang w:val="en-GB" w:eastAsia="en-US"/>
        </w:rPr>
        <w:t>redirectedCarrierInfo</w:t>
      </w:r>
      <w:r w:rsidR="00050715">
        <w:rPr>
          <w:lang w:val="en-GB" w:eastAsia="en-US"/>
        </w:rPr>
        <w:t xml:space="preserve">. </w:t>
      </w:r>
      <w:r w:rsidR="00156938">
        <w:rPr>
          <w:lang w:val="en-GB" w:eastAsia="en-US"/>
        </w:rPr>
        <w:t xml:space="preserve">During this process, the UE has to tune to </w:t>
      </w:r>
      <w:r w:rsidR="0068158F">
        <w:rPr>
          <w:lang w:val="en-GB" w:eastAsia="en-US"/>
        </w:rPr>
        <w:t>find</w:t>
      </w:r>
      <w:r w:rsidR="00086ED6">
        <w:rPr>
          <w:lang w:val="en-GB" w:eastAsia="en-US"/>
        </w:rPr>
        <w:t xml:space="preserve"> the NR</w:t>
      </w:r>
      <w:r w:rsidR="0068158F">
        <w:rPr>
          <w:lang w:val="en-GB" w:eastAsia="en-US"/>
        </w:rPr>
        <w:t xml:space="preserve"> </w:t>
      </w:r>
      <w:r w:rsidR="00156938">
        <w:rPr>
          <w:lang w:val="en-GB" w:eastAsia="en-US"/>
        </w:rPr>
        <w:t xml:space="preserve">NTN cells without </w:t>
      </w:r>
      <w:r w:rsidR="0068158F">
        <w:rPr>
          <w:lang w:val="en-GB" w:eastAsia="en-US"/>
        </w:rPr>
        <w:t xml:space="preserve">any NTN assistance information, which involves scanning the band to detect large frequency offsets as seen in NTN. </w:t>
      </w:r>
    </w:p>
    <w:p w14:paraId="4968779E" w14:textId="04775680" w:rsidR="00DB4164" w:rsidRDefault="00156938" w:rsidP="00363517">
      <w:pPr>
        <w:rPr>
          <w:lang w:val="en-GB" w:eastAsia="en-US"/>
        </w:rPr>
      </w:pPr>
      <w:r>
        <w:rPr>
          <w:lang w:val="en-GB" w:eastAsia="en-US"/>
        </w:rPr>
        <w:t xml:space="preserve">4. Once the UE has successfully identified a cell and acquired all of the necessary info, the UE camps on the </w:t>
      </w:r>
      <w:r w:rsidR="00086ED6">
        <w:rPr>
          <w:lang w:val="en-GB" w:eastAsia="en-US"/>
        </w:rPr>
        <w:t xml:space="preserve">NR NTN </w:t>
      </w:r>
      <w:r>
        <w:rPr>
          <w:lang w:val="en-GB" w:eastAsia="en-US"/>
        </w:rPr>
        <w:t xml:space="preserve">cell. </w:t>
      </w:r>
    </w:p>
    <w:p w14:paraId="5FFD0BB7" w14:textId="6733A933" w:rsidR="00DB4164" w:rsidRDefault="00156938" w:rsidP="00363517">
      <w:pPr>
        <w:rPr>
          <w:lang w:val="en-GB" w:eastAsia="en-US"/>
        </w:rPr>
      </w:pPr>
      <w:r>
        <w:rPr>
          <w:lang w:val="en-GB" w:eastAsia="en-US"/>
        </w:rPr>
        <w:t>From the above, since the step of performing cell selection on an NTN frequency shall already be supported from Rel-17, the re-direction</w:t>
      </w:r>
      <w:r w:rsidR="0016264E">
        <w:rPr>
          <w:lang w:val="en-GB" w:eastAsia="en-US"/>
        </w:rPr>
        <w:t xml:space="preserve"> from both E-UTRAN and NR TN</w:t>
      </w:r>
      <w:r>
        <w:rPr>
          <w:lang w:val="en-GB" w:eastAsia="en-US"/>
        </w:rPr>
        <w:t xml:space="preserve"> shall also be considered to be supported. </w:t>
      </w:r>
      <w:r w:rsidR="00DB4164">
        <w:rPr>
          <w:lang w:val="en-GB" w:eastAsia="en-US"/>
        </w:rPr>
        <w:t>The TN network is made aware of the su</w:t>
      </w:r>
      <w:r>
        <w:rPr>
          <w:lang w:val="en-GB" w:eastAsia="en-US"/>
        </w:rPr>
        <w:t xml:space="preserve">pport this by the UE indicating that it supports NTN. This is similar to the Rel-17 assumption that a UE supports connected mode handovers between TN and NTN without any special capabilities. </w:t>
      </w:r>
      <w:r w:rsidR="0068158F">
        <w:rPr>
          <w:lang w:val="en-GB" w:eastAsia="en-US"/>
        </w:rPr>
        <w:t xml:space="preserve">If a UE capability shall be required for this, this should have been made clear in Rel-17. </w:t>
      </w:r>
    </w:p>
    <w:p w14:paraId="6EB0F231" w14:textId="57E92C5C" w:rsidR="00B663D2" w:rsidRPr="00F4579A" w:rsidRDefault="00B663D2" w:rsidP="00B663D2">
      <w:pPr>
        <w:rPr>
          <w:b/>
          <w:lang w:val="en-GB" w:eastAsia="en-US"/>
        </w:rPr>
      </w:pPr>
      <w:r>
        <w:rPr>
          <w:b/>
          <w:lang w:val="en-GB" w:eastAsia="en-US"/>
        </w:rPr>
        <w:t>Proposal 1</w:t>
      </w:r>
      <w:r w:rsidRPr="00F4579A">
        <w:rPr>
          <w:b/>
          <w:lang w:val="en-GB" w:eastAsia="en-US"/>
        </w:rPr>
        <w:t xml:space="preserve">: </w:t>
      </w:r>
      <w:r w:rsidR="00770C5E">
        <w:rPr>
          <w:b/>
          <w:lang w:val="en-GB" w:eastAsia="en-US"/>
        </w:rPr>
        <w:t xml:space="preserve">E-UTRAN to NR NTN re-direction via </w:t>
      </w:r>
      <w:r w:rsidR="00770C5E" w:rsidRPr="00770C5E">
        <w:rPr>
          <w:b/>
          <w:i/>
          <w:lang w:val="en-GB" w:eastAsia="en-US"/>
        </w:rPr>
        <w:t>RRCConnectionRelease</w:t>
      </w:r>
      <w:r w:rsidR="00770C5E">
        <w:rPr>
          <w:b/>
          <w:lang w:val="en-GB" w:eastAsia="en-US"/>
        </w:rPr>
        <w:t xml:space="preserve"> is considered supported if UE supports Rel-17 NTN</w:t>
      </w:r>
      <w:r w:rsidR="0068158F">
        <w:rPr>
          <w:b/>
          <w:lang w:val="en-GB" w:eastAsia="en-US"/>
        </w:rPr>
        <w:t xml:space="preserve"> and no </w:t>
      </w:r>
      <w:r w:rsidR="0002220F">
        <w:rPr>
          <w:b/>
          <w:lang w:val="en-GB" w:eastAsia="en-US"/>
        </w:rPr>
        <w:t xml:space="preserve">new </w:t>
      </w:r>
      <w:r w:rsidR="0068158F">
        <w:rPr>
          <w:b/>
          <w:lang w:val="en-GB" w:eastAsia="en-US"/>
        </w:rPr>
        <w:t>UE capability is required for this</w:t>
      </w:r>
      <w:r>
        <w:rPr>
          <w:b/>
          <w:lang w:val="en-GB" w:eastAsia="en-US"/>
        </w:rPr>
        <w:t xml:space="preserve">. </w:t>
      </w:r>
      <w:r w:rsidRPr="00F4579A">
        <w:rPr>
          <w:b/>
          <w:lang w:val="en-GB" w:eastAsia="en-US"/>
        </w:rPr>
        <w:t xml:space="preserve"> </w:t>
      </w:r>
    </w:p>
    <w:p w14:paraId="007B5ED3" w14:textId="35949978" w:rsidR="00AB7C3E" w:rsidRDefault="00DE4B84" w:rsidP="00363517">
      <w:pPr>
        <w:rPr>
          <w:lang w:val="en-GB" w:eastAsia="en-US"/>
        </w:rPr>
      </w:pPr>
      <w:r>
        <w:rPr>
          <w:lang w:val="en-GB" w:eastAsia="en-US"/>
        </w:rPr>
        <w:t xml:space="preserve">Also in RAN2#127bis, it was mentioned by some companies that </w:t>
      </w:r>
      <w:r w:rsidR="0068158F">
        <w:rPr>
          <w:lang w:val="en-GB" w:eastAsia="en-US"/>
        </w:rPr>
        <w:t xml:space="preserve">RRC release and redirection may be enhanced with more assistance information. We believe that RAN2 may discuss providing more assistance information, and if assistance information is introduced, then we certainly believe that a UE capability would be required. </w:t>
      </w:r>
    </w:p>
    <w:p w14:paraId="0F152EF8" w14:textId="313E6430" w:rsidR="0068158F" w:rsidRPr="00F4579A" w:rsidRDefault="0068158F" w:rsidP="0068158F">
      <w:pPr>
        <w:rPr>
          <w:b/>
          <w:lang w:val="en-GB" w:eastAsia="en-US"/>
        </w:rPr>
      </w:pPr>
      <w:r>
        <w:rPr>
          <w:b/>
          <w:lang w:val="en-GB" w:eastAsia="en-US"/>
        </w:rPr>
        <w:lastRenderedPageBreak/>
        <w:t>Proposal 2</w:t>
      </w:r>
      <w:r w:rsidRPr="00F4579A">
        <w:rPr>
          <w:b/>
          <w:lang w:val="en-GB" w:eastAsia="en-US"/>
        </w:rPr>
        <w:t xml:space="preserve">: </w:t>
      </w:r>
      <w:r>
        <w:rPr>
          <w:b/>
          <w:lang w:val="en-GB" w:eastAsia="en-US"/>
        </w:rPr>
        <w:t xml:space="preserve">RAN2 can discuss new assistance information for E-UTRAN to NR NTN redirection, for which a new capability can be considered to be required. </w:t>
      </w:r>
      <w:r w:rsidRPr="00F4579A">
        <w:rPr>
          <w:b/>
          <w:lang w:val="en-GB" w:eastAsia="en-US"/>
        </w:rPr>
        <w:t xml:space="preserve"> </w:t>
      </w:r>
    </w:p>
    <w:p w14:paraId="0908290E" w14:textId="116FADD6" w:rsidR="00BF3D0E" w:rsidRDefault="00BF3D0E" w:rsidP="00BF3D0E">
      <w:pPr>
        <w:pStyle w:val="Heading2"/>
      </w:pPr>
      <w:r>
        <w:t>On polarization information</w:t>
      </w:r>
    </w:p>
    <w:p w14:paraId="3373B8FA" w14:textId="34F1C49A" w:rsidR="00770C5E" w:rsidRDefault="00BF3D0E" w:rsidP="00363517">
      <w:pPr>
        <w:rPr>
          <w:lang w:val="en-GB" w:eastAsia="en-US"/>
        </w:rPr>
      </w:pPr>
      <w:r>
        <w:rPr>
          <w:lang w:val="en-GB" w:eastAsia="en-US"/>
        </w:rPr>
        <w:t>In RAN2#12</w:t>
      </w:r>
      <w:r w:rsidR="00BA07B7">
        <w:rPr>
          <w:lang w:val="en-GB" w:eastAsia="en-US"/>
        </w:rPr>
        <w:t>6</w:t>
      </w:r>
      <w:r>
        <w:rPr>
          <w:lang w:val="en-GB" w:eastAsia="en-US"/>
        </w:rPr>
        <w:t xml:space="preserve">, it was agreed that polarization information will be supported to be signalled as part of the NTN assistance information: </w:t>
      </w:r>
    </w:p>
    <w:p w14:paraId="3F98DA8C" w14:textId="77777777" w:rsidR="00BA07B7" w:rsidRDefault="00BA07B7" w:rsidP="00BA07B7">
      <w:pPr>
        <w:pStyle w:val="Doc-text2"/>
        <w:pBdr>
          <w:top w:val="single" w:sz="4" w:space="1" w:color="auto"/>
          <w:left w:val="single" w:sz="4" w:space="4" w:color="auto"/>
          <w:bottom w:val="single" w:sz="4" w:space="1" w:color="auto"/>
          <w:right w:val="single" w:sz="4" w:space="4" w:color="auto"/>
        </w:pBdr>
      </w:pPr>
      <w:r>
        <w:t>4.</w:t>
      </w:r>
      <w:r>
        <w:tab/>
        <w:t>To support the idle mode mobility from EUTRA TN to NR NTN, the satellite assistance information for NR NTN neighbor cells is needed and should include the following parameters:</w:t>
      </w:r>
    </w:p>
    <w:p w14:paraId="6605154F" w14:textId="77777777" w:rsidR="00BA07B7" w:rsidRDefault="00BA07B7" w:rsidP="00BA07B7">
      <w:pPr>
        <w:pStyle w:val="Doc-text2"/>
        <w:pBdr>
          <w:top w:val="single" w:sz="4" w:space="1" w:color="auto"/>
          <w:left w:val="single" w:sz="4" w:space="4" w:color="auto"/>
          <w:bottom w:val="single" w:sz="4" w:space="1" w:color="auto"/>
          <w:right w:val="single" w:sz="4" w:space="4" w:color="auto"/>
        </w:pBdr>
      </w:pPr>
      <w:r>
        <w:tab/>
        <w:t>-</w:t>
      </w:r>
      <w:r>
        <w:tab/>
        <w:t>Satellite ephemeris information</w:t>
      </w:r>
    </w:p>
    <w:p w14:paraId="6C0F597A" w14:textId="77777777" w:rsidR="00BA07B7" w:rsidRDefault="00BA07B7" w:rsidP="00BA07B7">
      <w:pPr>
        <w:pStyle w:val="Doc-text2"/>
        <w:pBdr>
          <w:top w:val="single" w:sz="4" w:space="1" w:color="auto"/>
          <w:left w:val="single" w:sz="4" w:space="4" w:color="auto"/>
          <w:bottom w:val="single" w:sz="4" w:space="1" w:color="auto"/>
          <w:right w:val="single" w:sz="4" w:space="4" w:color="auto"/>
        </w:pBdr>
      </w:pPr>
      <w:r>
        <w:tab/>
        <w:t>-</w:t>
      </w:r>
      <w:r>
        <w:tab/>
        <w:t>TA common information</w:t>
      </w:r>
    </w:p>
    <w:p w14:paraId="23E89F19" w14:textId="77777777" w:rsidR="00BA07B7" w:rsidRDefault="00BA07B7" w:rsidP="00BA07B7">
      <w:pPr>
        <w:pStyle w:val="Doc-text2"/>
        <w:pBdr>
          <w:top w:val="single" w:sz="4" w:space="1" w:color="auto"/>
          <w:left w:val="single" w:sz="4" w:space="4" w:color="auto"/>
          <w:bottom w:val="single" w:sz="4" w:space="1" w:color="auto"/>
          <w:right w:val="single" w:sz="4" w:space="4" w:color="auto"/>
        </w:pBdr>
      </w:pPr>
      <w:r>
        <w:tab/>
        <w:t>-</w:t>
      </w:r>
      <w:r>
        <w:tab/>
        <w:t>k-Mac</w:t>
      </w:r>
    </w:p>
    <w:p w14:paraId="2E2C4CA3" w14:textId="77777777" w:rsidR="00BA07B7" w:rsidRDefault="00BA07B7" w:rsidP="00BA07B7">
      <w:pPr>
        <w:pStyle w:val="Doc-text2"/>
        <w:pBdr>
          <w:top w:val="single" w:sz="4" w:space="1" w:color="auto"/>
          <w:left w:val="single" w:sz="4" w:space="4" w:color="auto"/>
          <w:bottom w:val="single" w:sz="4" w:space="1" w:color="auto"/>
          <w:right w:val="single" w:sz="4" w:space="4" w:color="auto"/>
        </w:pBdr>
      </w:pPr>
      <w:r>
        <w:tab/>
        <w:t>-</w:t>
      </w:r>
      <w:r>
        <w:tab/>
        <w:t>epoch time</w:t>
      </w:r>
    </w:p>
    <w:p w14:paraId="7484D8C9" w14:textId="77777777" w:rsidR="00BA07B7" w:rsidRDefault="00BA07B7" w:rsidP="00BA07B7">
      <w:pPr>
        <w:pStyle w:val="Doc-text2"/>
        <w:pBdr>
          <w:top w:val="single" w:sz="4" w:space="1" w:color="auto"/>
          <w:left w:val="single" w:sz="4" w:space="4" w:color="auto"/>
          <w:bottom w:val="single" w:sz="4" w:space="1" w:color="auto"/>
          <w:right w:val="single" w:sz="4" w:space="4" w:color="auto"/>
        </w:pBdr>
      </w:pPr>
      <w:r>
        <w:tab/>
        <w:t>-</w:t>
      </w:r>
      <w:r>
        <w:tab/>
        <w:t>validity duration</w:t>
      </w:r>
    </w:p>
    <w:p w14:paraId="277D937A" w14:textId="77777777" w:rsidR="00BA07B7" w:rsidRDefault="00BA07B7" w:rsidP="00BA07B7">
      <w:pPr>
        <w:pStyle w:val="Doc-text2"/>
        <w:pBdr>
          <w:top w:val="single" w:sz="4" w:space="1" w:color="auto"/>
          <w:left w:val="single" w:sz="4" w:space="4" w:color="auto"/>
          <w:bottom w:val="single" w:sz="4" w:space="1" w:color="auto"/>
          <w:right w:val="single" w:sz="4" w:space="4" w:color="auto"/>
        </w:pBdr>
      </w:pPr>
      <w:r>
        <w:tab/>
        <w:t>-</w:t>
      </w:r>
      <w:r>
        <w:tab/>
        <w:t>ntn-PolarizationDL (FFS if</w:t>
      </w:r>
      <w:r w:rsidRPr="00A20D02">
        <w:t xml:space="preserve"> mandatory or optional</w:t>
      </w:r>
      <w:r>
        <w:t>)</w:t>
      </w:r>
    </w:p>
    <w:p w14:paraId="178F7DEC" w14:textId="418B5C98" w:rsidR="00BA07B7" w:rsidRDefault="00BA07B7" w:rsidP="00BA07B7">
      <w:pPr>
        <w:pStyle w:val="Doc-text2"/>
        <w:pBdr>
          <w:top w:val="single" w:sz="4" w:space="1" w:color="auto"/>
          <w:left w:val="single" w:sz="4" w:space="4" w:color="auto"/>
          <w:bottom w:val="single" w:sz="4" w:space="1" w:color="auto"/>
          <w:right w:val="single" w:sz="4" w:space="4" w:color="auto"/>
        </w:pBdr>
      </w:pPr>
      <w:r>
        <w:t>...</w:t>
      </w:r>
    </w:p>
    <w:p w14:paraId="76DE8EF6" w14:textId="77777777" w:rsidR="00BA07B7" w:rsidRDefault="00BA07B7" w:rsidP="00BA07B7">
      <w:pPr>
        <w:pStyle w:val="Doc-text2"/>
        <w:pBdr>
          <w:top w:val="single" w:sz="4" w:space="1" w:color="auto"/>
          <w:left w:val="single" w:sz="4" w:space="4" w:color="auto"/>
          <w:bottom w:val="single" w:sz="4" w:space="1" w:color="auto"/>
          <w:right w:val="single" w:sz="4" w:space="4" w:color="auto"/>
        </w:pBdr>
      </w:pPr>
      <w:r>
        <w:t>6.</w:t>
      </w:r>
      <w:r>
        <w:tab/>
      </w:r>
      <w:r w:rsidRPr="00C711AE">
        <w:t xml:space="preserve">The </w:t>
      </w:r>
      <w:r>
        <w:t xml:space="preserve">signalling format for </w:t>
      </w:r>
      <w:r w:rsidRPr="00C711AE">
        <w:t>ntn-PolarizationDL and TA common related configurations within NTN-Config specified in TS38.331 should be introduced in TS36.331 for NR satellite assistance information.</w:t>
      </w:r>
    </w:p>
    <w:p w14:paraId="13049ECE" w14:textId="334CFADC" w:rsidR="00BF3D0E" w:rsidRDefault="00BF3D0E" w:rsidP="00363517">
      <w:pPr>
        <w:rPr>
          <w:lang w:val="en-GB" w:eastAsia="en-US"/>
        </w:rPr>
      </w:pPr>
    </w:p>
    <w:p w14:paraId="2B40A257" w14:textId="194087F4" w:rsidR="00BF3D0E" w:rsidRDefault="00BF3D0E" w:rsidP="00363517">
      <w:pPr>
        <w:rPr>
          <w:lang w:val="en-GB" w:eastAsia="en-US"/>
        </w:rPr>
      </w:pPr>
      <w:r>
        <w:rPr>
          <w:lang w:val="en-GB" w:eastAsia="en-US"/>
        </w:rPr>
        <w:t xml:space="preserve">This follows the design of NR NTN, where the assistance information is signalled per cell. Polarization </w:t>
      </w:r>
      <w:r w:rsidR="00D76D31">
        <w:rPr>
          <w:lang w:val="en-GB" w:eastAsia="en-US"/>
        </w:rPr>
        <w:t xml:space="preserve">is </w:t>
      </w:r>
      <w:r>
        <w:rPr>
          <w:lang w:val="en-GB" w:eastAsia="en-US"/>
        </w:rPr>
        <w:t xml:space="preserve">often be used </w:t>
      </w:r>
      <w:r w:rsidR="004D51FE">
        <w:rPr>
          <w:lang w:val="en-GB" w:eastAsia="en-US"/>
        </w:rPr>
        <w:t xml:space="preserve">in </w:t>
      </w:r>
      <w:r>
        <w:rPr>
          <w:lang w:val="en-GB" w:eastAsia="en-US"/>
        </w:rPr>
        <w:t>satellit</w:t>
      </w:r>
      <w:r w:rsidR="001A1B04">
        <w:rPr>
          <w:lang w:val="en-GB" w:eastAsia="en-US"/>
        </w:rPr>
        <w:t>e networks to provide Division M</w:t>
      </w:r>
      <w:r>
        <w:rPr>
          <w:lang w:val="en-GB" w:eastAsia="en-US"/>
        </w:rPr>
        <w:t>ultiplexing, similar to FDM and TDM. One popular method is to combine FDM and polarization to achieve cell-resource orthogonality in or</w:t>
      </w:r>
      <w:r w:rsidR="001A1B04">
        <w:rPr>
          <w:lang w:val="en-GB" w:eastAsia="en-US"/>
        </w:rPr>
        <w:t xml:space="preserve">der to balance to reduce any interference to weak link budgets. </w:t>
      </w:r>
      <w:r w:rsidR="00881245">
        <w:rPr>
          <w:lang w:val="en-GB" w:eastAsia="en-US"/>
        </w:rPr>
        <w:t>For instance with two carrier frequencies and using RHCP and LHCP, 4 orthogonal resources can be created: {</w:t>
      </w:r>
      <w:r w:rsidR="00881245" w:rsidRPr="004A512A">
        <w:rPr>
          <w:i/>
          <w:lang w:val="en-GB" w:eastAsia="en-US"/>
        </w:rPr>
        <w:t>freq1</w:t>
      </w:r>
      <w:r w:rsidR="00881245">
        <w:rPr>
          <w:lang w:val="en-GB" w:eastAsia="en-US"/>
        </w:rPr>
        <w:t xml:space="preserve">, </w:t>
      </w:r>
      <w:r w:rsidR="00881245" w:rsidRPr="004A512A">
        <w:rPr>
          <w:i/>
          <w:lang w:val="en-GB" w:eastAsia="en-US"/>
        </w:rPr>
        <w:t>RHCP</w:t>
      </w:r>
      <w:r w:rsidR="00881245">
        <w:rPr>
          <w:lang w:val="en-GB" w:eastAsia="en-US"/>
        </w:rPr>
        <w:t>}, {</w:t>
      </w:r>
      <w:r w:rsidR="00881245" w:rsidRPr="004A512A">
        <w:rPr>
          <w:i/>
          <w:lang w:val="en-GB" w:eastAsia="en-US"/>
        </w:rPr>
        <w:t>freq1</w:t>
      </w:r>
      <w:r w:rsidR="00881245">
        <w:rPr>
          <w:lang w:val="en-GB" w:eastAsia="en-US"/>
        </w:rPr>
        <w:t xml:space="preserve">, </w:t>
      </w:r>
      <w:r w:rsidR="00881245" w:rsidRPr="004A512A">
        <w:rPr>
          <w:i/>
          <w:lang w:val="en-GB" w:eastAsia="en-US"/>
        </w:rPr>
        <w:t>LHCP</w:t>
      </w:r>
      <w:r w:rsidR="00881245">
        <w:rPr>
          <w:lang w:val="en-GB" w:eastAsia="en-US"/>
        </w:rPr>
        <w:t>}, {</w:t>
      </w:r>
      <w:r w:rsidR="00881245" w:rsidRPr="004A512A">
        <w:rPr>
          <w:i/>
          <w:lang w:val="en-GB" w:eastAsia="en-US"/>
        </w:rPr>
        <w:t>freq2</w:t>
      </w:r>
      <w:r w:rsidR="00881245">
        <w:rPr>
          <w:lang w:val="en-GB" w:eastAsia="en-US"/>
        </w:rPr>
        <w:t xml:space="preserve">, </w:t>
      </w:r>
      <w:r w:rsidR="00881245" w:rsidRPr="004A512A">
        <w:rPr>
          <w:i/>
          <w:lang w:val="en-GB" w:eastAsia="en-US"/>
        </w:rPr>
        <w:t>RHCP</w:t>
      </w:r>
      <w:r w:rsidR="00881245">
        <w:rPr>
          <w:lang w:val="en-GB" w:eastAsia="en-US"/>
        </w:rPr>
        <w:t>} and {</w:t>
      </w:r>
      <w:r w:rsidR="00881245" w:rsidRPr="004A512A">
        <w:rPr>
          <w:i/>
          <w:lang w:val="en-GB" w:eastAsia="en-US"/>
        </w:rPr>
        <w:t>freq2</w:t>
      </w:r>
      <w:r w:rsidR="00881245">
        <w:rPr>
          <w:lang w:val="en-GB" w:eastAsia="en-US"/>
        </w:rPr>
        <w:t xml:space="preserve">, </w:t>
      </w:r>
      <w:r w:rsidR="00881245" w:rsidRPr="004A512A">
        <w:rPr>
          <w:i/>
          <w:lang w:val="en-GB" w:eastAsia="en-US"/>
        </w:rPr>
        <w:t>LHCP</w:t>
      </w:r>
      <w:r w:rsidR="00881245">
        <w:rPr>
          <w:lang w:val="en-GB" w:eastAsia="en-US"/>
        </w:rPr>
        <w:t xml:space="preserve">}. </w:t>
      </w:r>
    </w:p>
    <w:p w14:paraId="343282C5" w14:textId="259ED503" w:rsidR="001A1B04" w:rsidRDefault="001A1B04" w:rsidP="00363517">
      <w:pPr>
        <w:rPr>
          <w:lang w:val="en-GB" w:eastAsia="en-US"/>
        </w:rPr>
      </w:pPr>
      <w:r>
        <w:rPr>
          <w:lang w:val="en-GB" w:eastAsia="en-US"/>
        </w:rPr>
        <w:t>However, the design in IoT NTN is different where the NTN assistance inf</w:t>
      </w:r>
      <w:r w:rsidR="008C2EBA">
        <w:rPr>
          <w:lang w:val="en-GB" w:eastAsia="en-US"/>
        </w:rPr>
        <w:t>ormation is not per cell. T</w:t>
      </w:r>
      <w:r>
        <w:rPr>
          <w:lang w:val="en-GB" w:eastAsia="en-US"/>
        </w:rPr>
        <w:t xml:space="preserve">he NTN assistance information is valid for multiple cells from a single satellite. </w:t>
      </w:r>
      <w:r w:rsidR="008C2EBA">
        <w:rPr>
          <w:lang w:val="en-GB" w:eastAsia="en-US"/>
        </w:rPr>
        <w:t xml:space="preserve">And given how </w:t>
      </w:r>
      <w:r>
        <w:rPr>
          <w:lang w:val="en-GB" w:eastAsia="en-US"/>
        </w:rPr>
        <w:t xml:space="preserve">It is not likely that all of the cells of a single satellite will use the same polarization mode. The other alternative would be to somehow signal the polarization mode per cell, but SIB24 does not support signalling per-cell information. RAN2 thus needs to discuss how polarization is expected to be used and whether it is needed at all. </w:t>
      </w:r>
    </w:p>
    <w:p w14:paraId="5B5369DD" w14:textId="5BAC5ACE" w:rsidR="001A1B04" w:rsidRPr="00F4579A" w:rsidRDefault="001A1B04" w:rsidP="001A1B04">
      <w:pPr>
        <w:rPr>
          <w:b/>
          <w:lang w:val="en-GB" w:eastAsia="en-US"/>
        </w:rPr>
      </w:pPr>
      <w:r>
        <w:rPr>
          <w:b/>
          <w:lang w:val="en-GB" w:eastAsia="en-US"/>
        </w:rPr>
        <w:t>Proposal 3</w:t>
      </w:r>
      <w:r w:rsidRPr="00F4579A">
        <w:rPr>
          <w:b/>
          <w:lang w:val="en-GB" w:eastAsia="en-US"/>
        </w:rPr>
        <w:t xml:space="preserve">: </w:t>
      </w:r>
      <w:r>
        <w:rPr>
          <w:b/>
          <w:lang w:val="en-GB" w:eastAsia="en-US"/>
        </w:rPr>
        <w:t xml:space="preserve">Polarization should not be signalled per </w:t>
      </w:r>
      <w:r w:rsidR="00086ED6">
        <w:rPr>
          <w:b/>
          <w:lang w:val="en-GB" w:eastAsia="en-US"/>
        </w:rPr>
        <w:t>satellite</w:t>
      </w:r>
      <w:r>
        <w:rPr>
          <w:b/>
          <w:lang w:val="en-GB" w:eastAsia="en-US"/>
        </w:rPr>
        <w:t xml:space="preserve"> in satelliteInfoList-r19. </w:t>
      </w:r>
      <w:r w:rsidRPr="00F4579A">
        <w:rPr>
          <w:b/>
          <w:lang w:val="en-GB" w:eastAsia="en-US"/>
        </w:rPr>
        <w:t xml:space="preserve"> </w:t>
      </w:r>
    </w:p>
    <w:p w14:paraId="0D6C93CF" w14:textId="040A7611" w:rsidR="001A1B04" w:rsidRPr="00F4579A" w:rsidRDefault="001A1B04" w:rsidP="001A1B04">
      <w:pPr>
        <w:rPr>
          <w:b/>
          <w:lang w:val="en-GB" w:eastAsia="en-US"/>
        </w:rPr>
      </w:pPr>
      <w:r>
        <w:rPr>
          <w:b/>
          <w:lang w:val="en-GB" w:eastAsia="en-US"/>
        </w:rPr>
        <w:t>Proposal 4</w:t>
      </w:r>
      <w:r w:rsidRPr="00F4579A">
        <w:rPr>
          <w:b/>
          <w:lang w:val="en-GB" w:eastAsia="en-US"/>
        </w:rPr>
        <w:t xml:space="preserve">: </w:t>
      </w:r>
      <w:r>
        <w:rPr>
          <w:b/>
          <w:lang w:val="en-GB" w:eastAsia="en-US"/>
        </w:rPr>
        <w:t>RAN2 to discuss how the polarization mo</w:t>
      </w:r>
      <w:r w:rsidR="008C2EBA">
        <w:rPr>
          <w:b/>
          <w:lang w:val="en-GB" w:eastAsia="en-US"/>
        </w:rPr>
        <w:t>de can be signalled per cell or</w:t>
      </w:r>
      <w:r>
        <w:rPr>
          <w:b/>
          <w:lang w:val="en-GB" w:eastAsia="en-US"/>
        </w:rPr>
        <w:t xml:space="preserve"> whether it is needed at all. </w:t>
      </w:r>
      <w:r w:rsidRPr="00F4579A">
        <w:rPr>
          <w:b/>
          <w:lang w:val="en-GB" w:eastAsia="en-US"/>
        </w:rPr>
        <w:t xml:space="preserve"> </w:t>
      </w:r>
    </w:p>
    <w:p w14:paraId="17EF887A" w14:textId="77777777" w:rsidR="001A1B04" w:rsidRPr="00363517" w:rsidRDefault="001A1B04" w:rsidP="00363517">
      <w:pPr>
        <w:rPr>
          <w:lang w:val="en-GB" w:eastAsia="en-US"/>
        </w:rPr>
      </w:pPr>
    </w:p>
    <w:p w14:paraId="286834A3" w14:textId="74F2158C" w:rsidR="00033328" w:rsidRDefault="00CC547F" w:rsidP="00033328">
      <w:pPr>
        <w:pStyle w:val="Heading2"/>
      </w:pPr>
      <w:r>
        <w:t>Common TA issues related to regenerative payload</w:t>
      </w:r>
    </w:p>
    <w:p w14:paraId="2A369D26" w14:textId="1BDE376F" w:rsidR="00507659" w:rsidRDefault="00507659" w:rsidP="00507659">
      <w:pPr>
        <w:spacing w:before="240" w:after="0"/>
        <w:rPr>
          <w:lang w:val="en-GB" w:eastAsia="en-US"/>
        </w:rPr>
      </w:pPr>
      <w:r>
        <w:rPr>
          <w:lang w:val="en-GB" w:eastAsia="en-US"/>
        </w:rPr>
        <w:t>Common TA is introduced in Rel-17 as a cell-specific value which covers the RTT between the satellite and the UL synchronization reference point on the feeder link. In regenerative payload scenario which has no feeder link, common TA is not needed</w:t>
      </w:r>
      <w:r w:rsidR="00F33ACE">
        <w:rPr>
          <w:lang w:val="en-GB" w:eastAsia="en-US"/>
        </w:rPr>
        <w:t>, i.e., value 0 should be applied</w:t>
      </w:r>
      <w:r>
        <w:rPr>
          <w:lang w:val="en-GB" w:eastAsia="en-US"/>
        </w:rPr>
        <w:t xml:space="preserve">. </w:t>
      </w:r>
    </w:p>
    <w:p w14:paraId="03313EE6" w14:textId="4D93D3DA" w:rsidR="00D141D2" w:rsidRDefault="00507659" w:rsidP="00507659">
      <w:pPr>
        <w:spacing w:before="240" w:after="0"/>
        <w:rPr>
          <w:lang w:val="en-GB" w:eastAsia="en-US"/>
        </w:rPr>
      </w:pPr>
      <w:r>
        <w:rPr>
          <w:lang w:val="en-GB" w:eastAsia="en-US"/>
        </w:rPr>
        <w:t>The concern raised by some is that UE may over estimate UE specific TA (i.e., RTT of service link), however negative TA value cannot be indicated in RAR, if UE uses common TA value 0, the total TA UE pre-compensated will be larger than the actual TA. In transparent payload scenario, this issue can be solved by configure the common TA with a smaller value than the actual. For regenerative payload, some think negative common TA can be configured.</w:t>
      </w:r>
    </w:p>
    <w:p w14:paraId="6E37ACF2" w14:textId="77777777" w:rsidR="00D141D2" w:rsidRDefault="00D141D2" w:rsidP="00D141D2">
      <w:pPr>
        <w:spacing w:after="0"/>
        <w:rPr>
          <w:lang w:val="en-GB" w:eastAsia="en-US"/>
        </w:rPr>
      </w:pPr>
    </w:p>
    <w:p w14:paraId="16EDA2EB" w14:textId="69EAB3A9" w:rsidR="002653DD" w:rsidRDefault="00FB0536" w:rsidP="002653DD">
      <w:pPr>
        <w:rPr>
          <w:lang w:val="en-GB" w:eastAsia="en-US"/>
        </w:rPr>
      </w:pPr>
      <w:r>
        <w:rPr>
          <w:lang w:val="en-GB" w:eastAsia="en-US"/>
        </w:rPr>
        <w:t xml:space="preserve">Regarding the value of common TA in regenerative payload scenario, </w:t>
      </w:r>
      <w:r w:rsidR="00D141D2">
        <w:rPr>
          <w:lang w:val="en-GB" w:eastAsia="en-US"/>
        </w:rPr>
        <w:t>RAN2 has sent a LS to RAN1 and RAN4. The replies are as follows</w:t>
      </w:r>
      <w:r w:rsidR="00C3706C">
        <w:rPr>
          <w:lang w:val="en-GB" w:eastAsia="en-US"/>
        </w:rPr>
        <w:t xml:space="preserve"> [4] [5]. </w:t>
      </w:r>
    </w:p>
    <w:tbl>
      <w:tblPr>
        <w:tblStyle w:val="TableGrid"/>
        <w:tblW w:w="0" w:type="auto"/>
        <w:tblLook w:val="04A0" w:firstRow="1" w:lastRow="0" w:firstColumn="1" w:lastColumn="0" w:noHBand="0" w:noVBand="1"/>
      </w:tblPr>
      <w:tblGrid>
        <w:gridCol w:w="9631"/>
      </w:tblGrid>
      <w:tr w:rsidR="00C3706C" w14:paraId="4E4505F0" w14:textId="77777777" w:rsidTr="00C3706C">
        <w:tc>
          <w:tcPr>
            <w:tcW w:w="9631" w:type="dxa"/>
          </w:tcPr>
          <w:p w14:paraId="49019B5C" w14:textId="77777777" w:rsidR="00C3706C" w:rsidRPr="00C3706C" w:rsidRDefault="00C3706C" w:rsidP="00C3706C">
            <w:pPr>
              <w:overflowPunct w:val="0"/>
              <w:adjustRightInd w:val="0"/>
              <w:snapToGrid w:val="0"/>
              <w:spacing w:after="0"/>
              <w:textAlignment w:val="baseline"/>
              <w:rPr>
                <w:rFonts w:ascii="Times New Roman" w:eastAsia="DengXian" w:hAnsi="Times New Roman" w:cs="Times New Roman"/>
                <w:szCs w:val="20"/>
                <w:lang w:eastAsia="zh-CN"/>
              </w:rPr>
            </w:pPr>
            <w:r w:rsidRPr="00C3706C">
              <w:rPr>
                <w:rFonts w:ascii="Times New Roman" w:eastAsia="DengXian" w:hAnsi="Times New Roman" w:cs="Times New Roman"/>
                <w:szCs w:val="20"/>
                <w:lang w:eastAsia="zh-CN"/>
              </w:rPr>
              <w:t xml:space="preserve">RAN1 thanks RAN2 for their questions on common TA in a regenerative payload scenario and would like to provide responses for the question. </w:t>
            </w:r>
          </w:p>
          <w:p w14:paraId="5DB1E3B9" w14:textId="77777777" w:rsidR="00C3706C" w:rsidRPr="00C3706C" w:rsidRDefault="00C3706C" w:rsidP="00C3706C">
            <w:pPr>
              <w:overflowPunct w:val="0"/>
              <w:adjustRightInd w:val="0"/>
              <w:snapToGrid w:val="0"/>
              <w:spacing w:after="0"/>
              <w:textAlignment w:val="baseline"/>
              <w:rPr>
                <w:rFonts w:eastAsia="DengXian"/>
                <w:szCs w:val="20"/>
                <w:lang w:eastAsia="zh-CN"/>
              </w:rPr>
            </w:pPr>
          </w:p>
          <w:tbl>
            <w:tblPr>
              <w:tblStyle w:val="TableGrid"/>
              <w:tblW w:w="0" w:type="auto"/>
              <w:tblLook w:val="04A0" w:firstRow="1" w:lastRow="0" w:firstColumn="1" w:lastColumn="0" w:noHBand="0" w:noVBand="1"/>
            </w:tblPr>
            <w:tblGrid>
              <w:gridCol w:w="9405"/>
            </w:tblGrid>
            <w:tr w:rsidR="00C3706C" w:rsidRPr="00C3706C" w14:paraId="6310D6CF" w14:textId="77777777" w:rsidTr="00723243">
              <w:tc>
                <w:tcPr>
                  <w:tcW w:w="9855" w:type="dxa"/>
                </w:tcPr>
                <w:p w14:paraId="0C7A1F1B" w14:textId="77777777" w:rsidR="00C3706C" w:rsidRPr="00C3706C" w:rsidRDefault="00C3706C" w:rsidP="00C3706C">
                  <w:pPr>
                    <w:overflowPunct w:val="0"/>
                    <w:adjustRightInd w:val="0"/>
                    <w:snapToGrid w:val="0"/>
                    <w:spacing w:after="0"/>
                    <w:textAlignment w:val="baseline"/>
                    <w:rPr>
                      <w:rFonts w:eastAsia="DengXian"/>
                      <w:szCs w:val="20"/>
                      <w:lang w:eastAsia="zh-CN"/>
                    </w:rPr>
                  </w:pPr>
                </w:p>
                <w:p w14:paraId="4407FBB1" w14:textId="77777777" w:rsidR="00C3706C" w:rsidRPr="00C3706C" w:rsidRDefault="00C3706C" w:rsidP="00C3706C">
                  <w:pPr>
                    <w:overflowPunct w:val="0"/>
                    <w:autoSpaceDE w:val="0"/>
                    <w:autoSpaceDN w:val="0"/>
                    <w:adjustRightInd w:val="0"/>
                    <w:snapToGrid w:val="0"/>
                    <w:spacing w:after="0"/>
                    <w:textAlignment w:val="baseline"/>
                    <w:rPr>
                      <w:rFonts w:ascii="Times New Roman" w:eastAsia="DengXian" w:hAnsi="Times New Roman" w:cs="Times New Roman"/>
                      <w:szCs w:val="20"/>
                      <w:lang w:eastAsia="zh-CN"/>
                    </w:rPr>
                  </w:pPr>
                  <w:r w:rsidRPr="00C3706C">
                    <w:rPr>
                      <w:rFonts w:ascii="Times New Roman" w:eastAsia="DengXian" w:hAnsi="Times New Roman" w:cs="Times New Roman"/>
                      <w:b/>
                      <w:bCs/>
                      <w:szCs w:val="20"/>
                      <w:lang w:eastAsia="ja-JP"/>
                    </w:rPr>
                    <w:lastRenderedPageBreak/>
                    <w:t>Question:</w:t>
                  </w:r>
                  <w:r w:rsidRPr="00C3706C">
                    <w:rPr>
                      <w:rFonts w:ascii="Times New Roman" w:eastAsia="DengXian" w:hAnsi="Times New Roman" w:cs="Times New Roman"/>
                      <w:b/>
                      <w:bCs/>
                      <w:szCs w:val="20"/>
                      <w:lang w:eastAsia="zh-CN"/>
                    </w:rPr>
                    <w:t xml:space="preserve"> </w:t>
                  </w:r>
                  <w:r w:rsidRPr="00C3706C">
                    <w:rPr>
                      <w:rFonts w:ascii="Times New Roman" w:eastAsia="DengXian" w:hAnsi="Times New Roman" w:cs="Times New Roman"/>
                      <w:szCs w:val="20"/>
                      <w:lang w:eastAsia="zh-CN"/>
                    </w:rPr>
                    <w:t xml:space="preserve">Whether in a regenerative payload scenario it would be a problem to stick to 0 as the minimum possible value for TA-Common or whether we should e.g. introduce negative values for ta-Common. </w:t>
                  </w:r>
                </w:p>
                <w:p w14:paraId="014F8794" w14:textId="77777777" w:rsidR="00C3706C" w:rsidRPr="00C3706C" w:rsidRDefault="00C3706C" w:rsidP="00C3706C">
                  <w:pPr>
                    <w:overflowPunct w:val="0"/>
                    <w:adjustRightInd w:val="0"/>
                    <w:snapToGrid w:val="0"/>
                    <w:spacing w:after="0"/>
                    <w:textAlignment w:val="baseline"/>
                    <w:rPr>
                      <w:rFonts w:eastAsia="DengXian"/>
                      <w:szCs w:val="20"/>
                      <w:lang w:eastAsia="zh-CN"/>
                    </w:rPr>
                  </w:pPr>
                </w:p>
              </w:tc>
            </w:tr>
          </w:tbl>
          <w:p w14:paraId="180DBD30" w14:textId="77777777" w:rsidR="00C3706C" w:rsidRPr="00C3706C" w:rsidRDefault="00C3706C" w:rsidP="00C3706C">
            <w:pPr>
              <w:overflowPunct w:val="0"/>
              <w:adjustRightInd w:val="0"/>
              <w:snapToGrid w:val="0"/>
              <w:spacing w:after="0"/>
              <w:textAlignment w:val="baseline"/>
              <w:rPr>
                <w:rFonts w:eastAsia="DengXian"/>
                <w:szCs w:val="20"/>
                <w:lang w:eastAsia="zh-CN"/>
              </w:rPr>
            </w:pPr>
          </w:p>
          <w:p w14:paraId="621F8E49" w14:textId="77777777" w:rsidR="00C3706C" w:rsidRPr="00C3706C" w:rsidRDefault="00C3706C" w:rsidP="00C3706C">
            <w:pPr>
              <w:overflowPunct w:val="0"/>
              <w:adjustRightInd w:val="0"/>
              <w:snapToGrid w:val="0"/>
              <w:spacing w:after="0"/>
              <w:textAlignment w:val="baseline"/>
              <w:rPr>
                <w:rFonts w:ascii="Times New Roman" w:eastAsia="Times New Roman" w:hAnsi="Times New Roman" w:cs="Times New Roman"/>
                <w:b/>
                <w:bCs/>
                <w:szCs w:val="20"/>
                <w:lang w:val="en-GB" w:eastAsia="zh-CN"/>
              </w:rPr>
            </w:pPr>
            <w:r w:rsidRPr="00C3706C">
              <w:rPr>
                <w:rFonts w:ascii="Times New Roman" w:eastAsia="Times New Roman" w:hAnsi="Times New Roman" w:cs="Times New Roman"/>
                <w:b/>
                <w:bCs/>
                <w:szCs w:val="20"/>
                <w:lang w:val="en-GB" w:eastAsia="zh-CN"/>
              </w:rPr>
              <w:t>Response</w:t>
            </w:r>
            <w:r w:rsidRPr="00C3706C">
              <w:rPr>
                <w:rFonts w:ascii="Times New Roman" w:eastAsia="Times New Roman" w:hAnsi="Times New Roman" w:cs="Times New Roman" w:hint="eastAsia"/>
                <w:b/>
                <w:bCs/>
                <w:szCs w:val="20"/>
                <w:lang w:val="en-GB" w:eastAsia="zh-CN"/>
              </w:rPr>
              <w:t>:</w:t>
            </w:r>
          </w:p>
          <w:p w14:paraId="1F139B99" w14:textId="192EF29A" w:rsidR="00C3706C" w:rsidRPr="00C3706C" w:rsidRDefault="00C3706C" w:rsidP="00C3706C">
            <w:pPr>
              <w:overflowPunct w:val="0"/>
              <w:adjustRightInd w:val="0"/>
              <w:snapToGrid w:val="0"/>
              <w:spacing w:after="0"/>
              <w:textAlignment w:val="baseline"/>
              <w:rPr>
                <w:rFonts w:ascii="Times New Roman" w:eastAsia="DengXian" w:hAnsi="Times New Roman" w:cs="Times New Roman"/>
                <w:szCs w:val="20"/>
                <w:lang w:val="en-GB" w:eastAsia="zh-CN"/>
              </w:rPr>
            </w:pPr>
            <w:r w:rsidRPr="00C3706C">
              <w:rPr>
                <w:rFonts w:ascii="Times New Roman" w:eastAsia="Times New Roman" w:hAnsi="Times New Roman" w:cs="Times New Roman"/>
                <w:szCs w:val="20"/>
                <w:lang w:val="en-GB" w:eastAsia="zh-CN"/>
              </w:rPr>
              <w:t xml:space="preserve">A majority of companies in RAN1 think that </w:t>
            </w:r>
            <w:r w:rsidRPr="00C3706C">
              <w:rPr>
                <w:rFonts w:ascii="Times New Roman" w:eastAsia="Times New Roman" w:hAnsi="Times New Roman" w:cs="Times New Roman" w:hint="eastAsia"/>
                <w:szCs w:val="20"/>
                <w:lang w:val="en-GB" w:eastAsia="zh-CN"/>
              </w:rPr>
              <w:t xml:space="preserve">it </w:t>
            </w:r>
            <w:r w:rsidRPr="00C3706C">
              <w:rPr>
                <w:rFonts w:ascii="Times New Roman" w:eastAsia="Times New Roman" w:hAnsi="Times New Roman" w:cs="Times New Roman"/>
                <w:szCs w:val="20"/>
                <w:lang w:val="en-GB" w:eastAsia="zh-CN"/>
              </w:rPr>
              <w:t>would not be</w:t>
            </w:r>
            <w:r w:rsidRPr="00C3706C">
              <w:rPr>
                <w:rFonts w:ascii="Times New Roman" w:eastAsia="Times New Roman" w:hAnsi="Times New Roman" w:cs="Times New Roman" w:hint="eastAsia"/>
                <w:szCs w:val="20"/>
                <w:lang w:val="en-GB" w:eastAsia="zh-CN"/>
              </w:rPr>
              <w:t xml:space="preserve"> a problem</w:t>
            </w:r>
            <w:r w:rsidRPr="00C3706C">
              <w:rPr>
                <w:rFonts w:ascii="Times New Roman" w:eastAsia="Times New Roman" w:hAnsi="Times New Roman" w:cs="Times New Roman"/>
                <w:szCs w:val="20"/>
                <w:lang w:val="en-GB" w:eastAsia="zh-CN"/>
              </w:rPr>
              <w:t>, depending on gNB implementation</w:t>
            </w:r>
            <w:r w:rsidRPr="00C3706C">
              <w:rPr>
                <w:rFonts w:ascii="Times New Roman" w:eastAsia="Times New Roman" w:hAnsi="Times New Roman" w:cs="Times New Roman" w:hint="eastAsia"/>
                <w:szCs w:val="20"/>
                <w:lang w:val="en-GB" w:eastAsia="zh-CN"/>
              </w:rPr>
              <w:t xml:space="preserve"> </w:t>
            </w:r>
            <w:r w:rsidRPr="00C3706C">
              <w:rPr>
                <w:rFonts w:ascii="Times New Roman" w:eastAsia="Times New Roman" w:hAnsi="Times New Roman" w:cs="Times New Roman"/>
                <w:szCs w:val="20"/>
                <w:lang w:val="en-GB" w:eastAsia="zh-CN"/>
              </w:rPr>
              <w:t>in a regenerative payload scenario</w:t>
            </w:r>
            <w:r w:rsidRPr="00C3706C">
              <w:rPr>
                <w:rFonts w:ascii="Times New Roman" w:eastAsia="Times New Roman" w:hAnsi="Times New Roman" w:cs="Times New Roman" w:hint="eastAsia"/>
                <w:szCs w:val="20"/>
                <w:lang w:val="en-GB" w:eastAsia="zh-CN"/>
              </w:rPr>
              <w:t xml:space="preserve">, to stick to 0 as minimum possible value for TA common </w:t>
            </w:r>
            <w:r w:rsidRPr="00C3706C">
              <w:rPr>
                <w:rFonts w:ascii="Times New Roman" w:eastAsia="Times New Roman" w:hAnsi="Times New Roman" w:cs="Times New Roman"/>
                <w:szCs w:val="20"/>
                <w:lang w:val="en-GB" w:eastAsia="zh-CN"/>
              </w:rPr>
              <w:t>without</w:t>
            </w:r>
            <w:r w:rsidRPr="00C3706C">
              <w:rPr>
                <w:rFonts w:ascii="Times New Roman" w:eastAsia="Times New Roman" w:hAnsi="Times New Roman" w:cs="Times New Roman" w:hint="eastAsia"/>
                <w:szCs w:val="20"/>
                <w:lang w:val="en-GB" w:eastAsia="zh-CN"/>
              </w:rPr>
              <w:t xml:space="preserve"> introducing the negative value for ta-Common.</w:t>
            </w:r>
          </w:p>
        </w:tc>
      </w:tr>
    </w:tbl>
    <w:p w14:paraId="001D4A23" w14:textId="391DB7DE" w:rsidR="00C3706C" w:rsidRDefault="00C3706C" w:rsidP="002653DD">
      <w:pPr>
        <w:rPr>
          <w:lang w:val="en-GB" w:eastAsia="en-US"/>
        </w:rPr>
      </w:pPr>
    </w:p>
    <w:tbl>
      <w:tblPr>
        <w:tblStyle w:val="TableGrid"/>
        <w:tblW w:w="0" w:type="auto"/>
        <w:tblLook w:val="04A0" w:firstRow="1" w:lastRow="0" w:firstColumn="1" w:lastColumn="0" w:noHBand="0" w:noVBand="1"/>
      </w:tblPr>
      <w:tblGrid>
        <w:gridCol w:w="9631"/>
      </w:tblGrid>
      <w:tr w:rsidR="00C3706C" w14:paraId="592BAC1C" w14:textId="77777777" w:rsidTr="00C3706C">
        <w:tc>
          <w:tcPr>
            <w:tcW w:w="9631" w:type="dxa"/>
          </w:tcPr>
          <w:p w14:paraId="592EAC53" w14:textId="77777777" w:rsidR="00C3706C" w:rsidRPr="00C3706C" w:rsidRDefault="00C3706C" w:rsidP="00C3706C">
            <w:pPr>
              <w:spacing w:afterLines="50" w:after="120"/>
              <w:jc w:val="both"/>
              <w:rPr>
                <w:rFonts w:ascii="Times New Roman" w:eastAsia="DengXian" w:hAnsi="Times New Roman" w:cs="Courier New"/>
                <w:lang w:eastAsia="zh-CN"/>
              </w:rPr>
            </w:pPr>
            <w:r w:rsidRPr="00C3706C">
              <w:rPr>
                <w:rFonts w:eastAsia="DengXian"/>
                <w:lang w:eastAsia="zh-CN"/>
              </w:rPr>
              <w:t xml:space="preserve">RAN4 thanks RAN2 for their enquiry about </w:t>
            </w:r>
            <w:r w:rsidRPr="00C3706C">
              <w:rPr>
                <w:rFonts w:eastAsia="DengXian" w:hint="eastAsia"/>
                <w:lang w:eastAsia="zh-CN"/>
              </w:rPr>
              <w:t>whether in a regenerative payload scenario it would be a problem to stick to 0 as the minimum possible value for TA-Common or whether we should e.g. introduce negative values for ta-Common</w:t>
            </w:r>
            <w:r w:rsidRPr="00C3706C">
              <w:rPr>
                <w:rFonts w:eastAsia="DengXian"/>
                <w:lang w:eastAsia="zh-CN"/>
              </w:rPr>
              <w:t>, and would like to provide the below response to the question asked.</w:t>
            </w:r>
          </w:p>
          <w:p w14:paraId="6E95D68C" w14:textId="77777777" w:rsidR="00C3706C" w:rsidRPr="00C3706C" w:rsidRDefault="00C3706C" w:rsidP="00C3706C">
            <w:pPr>
              <w:tabs>
                <w:tab w:val="left" w:pos="1134"/>
              </w:tabs>
              <w:spacing w:beforeLines="50" w:before="120"/>
              <w:jc w:val="both"/>
              <w:rPr>
                <w:rFonts w:eastAsia="DengXian"/>
                <w:iCs/>
                <w:lang w:eastAsia="zh-CN"/>
              </w:rPr>
            </w:pPr>
            <w:r w:rsidRPr="00C3706C">
              <w:rPr>
                <w:rFonts w:eastAsia="DengXian" w:hint="eastAsia"/>
                <w:b/>
                <w:bCs/>
                <w:iCs/>
                <w:lang w:eastAsia="zh-CN"/>
              </w:rPr>
              <w:t>[</w:t>
            </w:r>
            <w:r w:rsidRPr="00C3706C">
              <w:rPr>
                <w:rFonts w:eastAsia="DengXian"/>
                <w:b/>
                <w:bCs/>
                <w:iCs/>
                <w:lang w:eastAsia="zh-CN"/>
              </w:rPr>
              <w:t>RAN4]</w:t>
            </w:r>
          </w:p>
          <w:p w14:paraId="0554B65E" w14:textId="77777777" w:rsidR="00C3706C" w:rsidRPr="00C3706C" w:rsidRDefault="00C3706C" w:rsidP="00C3706C">
            <w:pPr>
              <w:tabs>
                <w:tab w:val="left" w:pos="1134"/>
              </w:tabs>
              <w:spacing w:before="60" w:after="60"/>
              <w:jc w:val="both"/>
              <w:rPr>
                <w:rFonts w:eastAsia="DengXian"/>
                <w:iCs/>
                <w:lang w:eastAsia="zh-CN"/>
              </w:rPr>
            </w:pPr>
            <w:r w:rsidRPr="00C3706C">
              <w:rPr>
                <w:rFonts w:eastAsia="DengXian" w:hint="eastAsia"/>
                <w:iCs/>
                <w:lang w:eastAsia="zh-CN"/>
              </w:rPr>
              <w:t>No consensus on whether there is an issue due to non-negative value for common TA or whether negative values should be introduced for ta-common.</w:t>
            </w:r>
          </w:p>
          <w:p w14:paraId="6C6426A6" w14:textId="7306A63E" w:rsidR="00C3706C" w:rsidRPr="00C3706C" w:rsidRDefault="00C3706C" w:rsidP="00C3706C">
            <w:pPr>
              <w:tabs>
                <w:tab w:val="left" w:pos="1134"/>
              </w:tabs>
              <w:spacing w:before="60" w:after="60"/>
              <w:rPr>
                <w:lang w:eastAsia="en-US"/>
              </w:rPr>
            </w:pPr>
            <w:r w:rsidRPr="00C3706C">
              <w:rPr>
                <w:rFonts w:eastAsia="DengXian" w:hint="eastAsia"/>
                <w:iCs/>
                <w:lang w:eastAsia="zh-CN"/>
              </w:rPr>
              <w:t>Note: N</w:t>
            </w:r>
            <w:r w:rsidRPr="00C3706C">
              <w:rPr>
                <w:rFonts w:eastAsia="DengXian"/>
                <w:iCs/>
                <w:lang w:eastAsia="zh-CN"/>
              </w:rPr>
              <w:t xml:space="preserve">o more discussion of this issue </w:t>
            </w:r>
            <w:r w:rsidRPr="00C3706C">
              <w:rPr>
                <w:rFonts w:eastAsia="DengXian" w:hint="eastAsia"/>
                <w:iCs/>
                <w:lang w:eastAsia="zh-CN"/>
              </w:rPr>
              <w:t xml:space="preserve">is expected </w:t>
            </w:r>
            <w:r w:rsidRPr="00C3706C">
              <w:rPr>
                <w:rFonts w:eastAsia="DengXian"/>
                <w:iCs/>
                <w:lang w:eastAsia="zh-CN"/>
              </w:rPr>
              <w:t xml:space="preserve">in </w:t>
            </w:r>
            <w:r w:rsidRPr="00C3706C">
              <w:rPr>
                <w:rFonts w:eastAsia="DengXian" w:hint="eastAsia"/>
                <w:iCs/>
                <w:lang w:eastAsia="zh-CN"/>
              </w:rPr>
              <w:t>RAN4.</w:t>
            </w:r>
          </w:p>
        </w:tc>
      </w:tr>
    </w:tbl>
    <w:p w14:paraId="74C9CDFC" w14:textId="15876804" w:rsidR="00157AC3" w:rsidRDefault="00C3706C" w:rsidP="00C3706C">
      <w:pPr>
        <w:spacing w:before="240" w:after="0"/>
        <w:rPr>
          <w:lang w:val="en-GB" w:eastAsia="en-US"/>
        </w:rPr>
      </w:pPr>
      <w:r>
        <w:rPr>
          <w:lang w:val="en-GB" w:eastAsia="en-US"/>
        </w:rPr>
        <w:t xml:space="preserve">Majority in RAN1 think there is no issue to have common TA equal to 0, no consensus on whether there is any issue in RAN4. In our view, common TA with value 0 can work without any issue. </w:t>
      </w:r>
      <w:r w:rsidR="00157AC3">
        <w:rPr>
          <w:lang w:val="en-GB" w:eastAsia="en-US"/>
        </w:rPr>
        <w:t xml:space="preserve">As specified in 38.211, </w:t>
      </w:r>
      <w:r w:rsidR="00803406">
        <w:rPr>
          <w:lang w:val="en-GB" w:eastAsia="en-US"/>
        </w:rPr>
        <w:t>TA is defined as follows.</w:t>
      </w:r>
    </w:p>
    <w:p w14:paraId="3F9B16E0" w14:textId="1BFED110" w:rsidR="00157AC3" w:rsidRDefault="00157AC3" w:rsidP="00C3706C">
      <w:pPr>
        <w:spacing w:before="240" w:after="0"/>
        <w:rPr>
          <w:lang w:val="en-GB" w:eastAsia="en-US"/>
        </w:rPr>
      </w:pPr>
      <w:r w:rsidRPr="00157AC3">
        <w:rPr>
          <w:rFonts w:ascii="Times New Roman" w:eastAsia="Times New Roman" w:hAnsi="Times New Roman" w:cs="Times New Roman"/>
          <w:szCs w:val="20"/>
          <w:lang w:val="en-GB" w:eastAsia="en-US"/>
        </w:rPr>
        <w:t xml:space="preserve">Uplink frame number </w:t>
      </w:r>
      <w:r w:rsidRPr="00157AC3">
        <w:rPr>
          <w:rFonts w:ascii="Times New Roman" w:eastAsia="Times New Roman" w:hAnsi="Times New Roman" w:cs="Times New Roman"/>
          <w:position w:val="-6"/>
          <w:szCs w:val="20"/>
          <w:lang w:val="en-GB" w:eastAsia="en-US"/>
        </w:rPr>
        <w:object w:dxaOrig="139" w:dyaOrig="240" w14:anchorId="24C7B1DA">
          <v:shape id="_x0000_i1026" type="#_x0000_t75" style="width:6.75pt;height:12.75pt" o:ole="">
            <v:imagedata r:id="rId9" o:title=""/>
          </v:shape>
          <o:OLEObject Type="Embed" ProgID="Equation.3" ShapeID="_x0000_i1026" DrawAspect="Content" ObjectID="_1792560856" r:id="rId10"/>
        </w:object>
      </w:r>
      <w:r w:rsidRPr="00157AC3">
        <w:rPr>
          <w:rFonts w:ascii="Times New Roman" w:eastAsia="Times New Roman" w:hAnsi="Times New Roman" w:cs="Times New Roman"/>
          <w:szCs w:val="20"/>
          <w:lang w:val="en-GB" w:eastAsia="en-US"/>
        </w:rPr>
        <w:t xml:space="preserve"> for transmission from the UE shall start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sv-SE" w:eastAsia="en-US"/>
              </w:rPr>
              <m:t>TA</m:t>
            </m:r>
          </m:sub>
        </m:sSub>
        <m:r>
          <w:rPr>
            <w:rFonts w:ascii="Cambria Math" w:eastAsia="Times New Roman" w:hAnsi="Cambria Math" w:cs="Times New Roman"/>
            <w:szCs w:val="20"/>
            <w:lang w:val="sv-SE" w:eastAsia="en-US"/>
          </w:rPr>
          <m:t>=</m:t>
        </m:r>
        <m:d>
          <m:dPr>
            <m:ctrlPr>
              <w:rPr>
                <w:rFonts w:ascii="Cambria Math" w:eastAsia="Times New Roman" w:hAnsi="Cambria Math" w:cs="Times New Roman"/>
                <w:i/>
                <w:szCs w:val="20"/>
                <w:lang w:val="en-GB" w:eastAsia="en-US"/>
              </w:rPr>
            </m:ctrlPr>
          </m:dPr>
          <m:e>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N</m:t>
                </m:r>
              </m:e>
              <m:sub>
                <m:r>
                  <m:rPr>
                    <m:nor/>
                  </m:rPr>
                  <w:rPr>
                    <w:rFonts w:ascii="Cambria Math" w:eastAsia="Times New Roman" w:hAnsi="Cambria Math" w:cs="Times New Roman"/>
                    <w:szCs w:val="20"/>
                    <w:lang w:val="sv-SE" w:eastAsia="en-US"/>
                  </w:rPr>
                  <m:t>TA</m:t>
                </m:r>
              </m:sub>
            </m:sSub>
            <m:r>
              <w:rPr>
                <w:rFonts w:ascii="Cambria Math" w:eastAsia="Times New Roman" w:hAnsi="Cambria Math" w:cs="Times New Roman"/>
                <w:szCs w:val="20"/>
                <w:lang w:val="sv-SE"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N</m:t>
                </m:r>
              </m:e>
              <m:sub>
                <m:r>
                  <m:rPr>
                    <m:nor/>
                  </m:rPr>
                  <w:rPr>
                    <w:rFonts w:ascii="Cambria Math" w:eastAsia="Times New Roman" w:hAnsi="Cambria Math" w:cs="Times New Roman"/>
                    <w:szCs w:val="20"/>
                    <w:lang w:val="sv-SE" w:eastAsia="en-US"/>
                  </w:rPr>
                  <m:t>TA,offset</m:t>
                </m:r>
              </m:sub>
            </m:sSub>
            <m:r>
              <w:rPr>
                <w:rFonts w:ascii="Cambria Math" w:eastAsia="Times New Roman" w:hAnsi="Cambria Math" w:cs="Times New Roman"/>
                <w:szCs w:val="20"/>
                <w:lang w:val="sv-SE" w:eastAsia="en-US"/>
              </w:rPr>
              <m:t>+</m:t>
            </m:r>
            <m:sSubSup>
              <m:sSubSupPr>
                <m:ctrlPr>
                  <w:rPr>
                    <w:rFonts w:ascii="Cambria Math" w:eastAsia="Times New Roman" w:hAnsi="Cambria Math" w:cs="Times New Roman"/>
                    <w:i/>
                    <w:szCs w:val="20"/>
                    <w:lang w:val="en-GB" w:eastAsia="en-US"/>
                  </w:rPr>
                </m:ctrlPr>
              </m:sSubSupPr>
              <m:e>
                <m:r>
                  <w:rPr>
                    <w:rFonts w:ascii="Cambria Math" w:eastAsia="Times New Roman" w:hAnsi="Cambria Math" w:cs="Times New Roman"/>
                    <w:szCs w:val="20"/>
                    <w:lang w:val="en-GB" w:eastAsia="en-US"/>
                  </w:rPr>
                  <m:t>N</m:t>
                </m:r>
              </m:e>
              <m:sub>
                <m:r>
                  <m:rPr>
                    <m:nor/>
                  </m:rPr>
                  <w:rPr>
                    <w:rFonts w:ascii="Cambria Math" w:eastAsia="Times New Roman" w:hAnsi="Cambria Math" w:cs="Times New Roman"/>
                    <w:szCs w:val="20"/>
                    <w:lang w:val="sv-SE" w:eastAsia="en-US"/>
                  </w:rPr>
                  <m:t>TA,adj</m:t>
                </m:r>
              </m:sub>
              <m:sup>
                <m:r>
                  <m:rPr>
                    <m:nor/>
                  </m:rPr>
                  <w:rPr>
                    <w:rFonts w:ascii="Cambria Math" w:eastAsia="Times New Roman" w:hAnsi="Cambria Math" w:cs="Times New Roman"/>
                    <w:szCs w:val="20"/>
                    <w:lang w:val="sv-SE" w:eastAsia="en-US"/>
                  </w:rPr>
                  <m:t>common</m:t>
                </m:r>
              </m:sup>
            </m:sSubSup>
            <m:r>
              <w:rPr>
                <w:rFonts w:ascii="Cambria Math" w:eastAsia="Times New Roman" w:hAnsi="Cambria Math" w:cs="Times New Roman"/>
                <w:szCs w:val="20"/>
                <w:lang w:val="sv-SE" w:eastAsia="en-US"/>
              </w:rPr>
              <m:t>+</m:t>
            </m:r>
            <m:sSubSup>
              <m:sSubSupPr>
                <m:ctrlPr>
                  <w:rPr>
                    <w:rFonts w:ascii="Cambria Math" w:eastAsia="Times New Roman" w:hAnsi="Cambria Math" w:cs="Times New Roman"/>
                    <w:i/>
                    <w:szCs w:val="20"/>
                    <w:lang w:val="en-GB" w:eastAsia="en-US"/>
                  </w:rPr>
                </m:ctrlPr>
              </m:sSubSupPr>
              <m:e>
                <m:r>
                  <w:rPr>
                    <w:rFonts w:ascii="Cambria Math" w:eastAsia="Times New Roman" w:hAnsi="Cambria Math" w:cs="Times New Roman"/>
                    <w:szCs w:val="20"/>
                    <w:lang w:val="en-GB" w:eastAsia="en-US"/>
                  </w:rPr>
                  <m:t>N</m:t>
                </m:r>
              </m:e>
              <m:sub>
                <m:r>
                  <m:rPr>
                    <m:nor/>
                  </m:rPr>
                  <w:rPr>
                    <w:rFonts w:ascii="Cambria Math" w:eastAsia="Times New Roman" w:hAnsi="Cambria Math" w:cs="Times New Roman"/>
                    <w:szCs w:val="20"/>
                    <w:lang w:val="sv-SE" w:eastAsia="en-US"/>
                  </w:rPr>
                  <m:t>TA,adj</m:t>
                </m:r>
              </m:sub>
              <m:sup>
                <m:r>
                  <m:rPr>
                    <m:nor/>
                  </m:rPr>
                  <w:rPr>
                    <w:rFonts w:ascii="Cambria Math" w:eastAsia="Times New Roman" w:hAnsi="Cambria Math" w:cs="Times New Roman"/>
                    <w:szCs w:val="20"/>
                    <w:lang w:val="sv-SE" w:eastAsia="en-US"/>
                  </w:rPr>
                  <m:t>UE</m:t>
                </m:r>
              </m:sup>
            </m:sSubSup>
          </m:e>
        </m:d>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sv-SE" w:eastAsia="en-US"/>
              </w:rPr>
              <m:t>c</m:t>
            </m:r>
          </m:sub>
        </m:sSub>
      </m:oMath>
      <w:r w:rsidRPr="00157AC3">
        <w:rPr>
          <w:rFonts w:ascii="Times New Roman" w:eastAsia="Times New Roman" w:hAnsi="Times New Roman" w:cs="Times New Roman"/>
          <w:szCs w:val="20"/>
          <w:lang w:val="en-GB" w:eastAsia="en-US"/>
        </w:rPr>
        <w:t xml:space="preserve"> before the start of the corresponding downlink frame at the UE</w:t>
      </w:r>
    </w:p>
    <w:p w14:paraId="0B5F77A1" w14:textId="0984C906" w:rsidR="00D43549" w:rsidRDefault="00517FC1" w:rsidP="00C3706C">
      <w:pPr>
        <w:spacing w:before="240" w:after="0"/>
        <w:rPr>
          <w:lang w:val="en-GB" w:eastAsia="en-US"/>
        </w:rPr>
      </w:pPr>
      <w:r>
        <w:rPr>
          <w:lang w:val="en-GB" w:eastAsia="en-US"/>
        </w:rPr>
        <w:t xml:space="preserve">In TN, UE transmits PRACH without TA pre-compensation. The TA applied on PRACH transmission is </w:t>
      </w:r>
      <w:r w:rsidR="000E55A4">
        <w:rPr>
          <w:lang w:val="en-GB" w:eastAsia="en-US"/>
        </w:rPr>
        <w:t xml:space="preserve">based on </w:t>
      </w:r>
      <w:r>
        <w:rPr>
          <w:lang w:val="en-GB" w:eastAsia="en-US"/>
        </w:rPr>
        <w:t xml:space="preserve">pre-configured </w:t>
      </w:r>
      <w:r w:rsidR="000E55A4">
        <w:rPr>
          <w:lang w:val="en-GB" w:eastAsia="en-US"/>
        </w:rPr>
        <w:t>parameter</w:t>
      </w:r>
      <w:r w:rsidR="00157AC3">
        <w:rPr>
          <w:lang w:val="en-GB" w:eastAsia="en-US"/>
        </w:rPr>
        <w:t xml:space="preserve">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N</m:t>
            </m:r>
          </m:e>
          <m:sub>
            <m:r>
              <m:rPr>
                <m:nor/>
              </m:rPr>
              <w:rPr>
                <w:rFonts w:ascii="Cambria Math" w:eastAsia="Times New Roman" w:hAnsi="Cambria Math" w:cs="Times New Roman"/>
                <w:szCs w:val="20"/>
                <w:lang w:val="sv-SE" w:eastAsia="en-US"/>
              </w:rPr>
              <m:t>TA,offset</m:t>
            </m:r>
          </m:sub>
        </m:sSub>
      </m:oMath>
      <w:r>
        <w:rPr>
          <w:lang w:val="en-GB" w:eastAsia="en-US"/>
        </w:rPr>
        <w:t xml:space="preserve"> in SIB</w:t>
      </w:r>
      <w:r w:rsidR="000E55A4">
        <w:rPr>
          <w:lang w:val="en-GB" w:eastAsia="en-US"/>
        </w:rPr>
        <w:t xml:space="preserve"> </w:t>
      </w:r>
      <w:r w:rsidR="00157AC3">
        <w:rPr>
          <w:lang w:val="en-GB" w:eastAsia="en-US"/>
        </w:rPr>
        <w:t>with</w:t>
      </w:r>
      <w:r w:rsidR="000E55A4">
        <w:rPr>
          <w:lang w:val="en-GB" w:eastAsia="en-US"/>
        </w:rPr>
        <w:t xml:space="preserve">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N</m:t>
            </m:r>
          </m:e>
          <m:sub>
            <m:r>
              <m:rPr>
                <m:nor/>
              </m:rPr>
              <w:rPr>
                <w:rFonts w:ascii="Cambria Math" w:eastAsia="Times New Roman" w:hAnsi="Cambria Math" w:cs="Times New Roman"/>
                <w:szCs w:val="20"/>
                <w:lang w:val="sv-SE" w:eastAsia="en-US"/>
              </w:rPr>
              <m:t>TA</m:t>
            </m:r>
          </m:sub>
        </m:sSub>
      </m:oMath>
      <w:r w:rsidR="00157AC3">
        <w:rPr>
          <w:szCs w:val="20"/>
          <w:lang w:val="en-GB" w:eastAsia="en-US"/>
        </w:rPr>
        <w:t xml:space="preserve"> is 0</w:t>
      </w:r>
      <w:r w:rsidR="000E55A4">
        <w:rPr>
          <w:lang w:val="en-GB" w:eastAsia="en-US"/>
        </w:rPr>
        <w:t>,</w:t>
      </w:r>
      <w:r>
        <w:rPr>
          <w:lang w:val="en-GB" w:eastAsia="en-US"/>
        </w:rPr>
        <w:t xml:space="preserve"> which is not UE specific</w:t>
      </w:r>
      <w:r w:rsidR="00157AC3">
        <w:rPr>
          <w:lang w:val="en-GB" w:eastAsia="en-US"/>
        </w:rPr>
        <w:t xml:space="preserve"> and cannot be accurate for each UE. </w:t>
      </w:r>
      <w:r>
        <w:rPr>
          <w:lang w:val="en-GB" w:eastAsia="en-US"/>
        </w:rPr>
        <w:t xml:space="preserve">In NTN with transparent payload, UE transmits PRACH with TA pre-compensated (including service link RTT </w:t>
      </w:r>
      <m:oMath>
        <m:sSubSup>
          <m:sSubSupPr>
            <m:ctrlPr>
              <w:rPr>
                <w:rFonts w:ascii="Cambria Math" w:eastAsia="Times New Roman" w:hAnsi="Cambria Math" w:cs="Times New Roman"/>
                <w:i/>
                <w:szCs w:val="20"/>
                <w:lang w:val="en-GB" w:eastAsia="en-US"/>
              </w:rPr>
            </m:ctrlPr>
          </m:sSubSupPr>
          <m:e>
            <m:r>
              <w:rPr>
                <w:rFonts w:ascii="Cambria Math" w:eastAsia="Times New Roman" w:hAnsi="Cambria Math" w:cs="Times New Roman"/>
                <w:szCs w:val="20"/>
                <w:lang w:val="en-GB" w:eastAsia="en-US"/>
              </w:rPr>
              <m:t>N</m:t>
            </m:r>
          </m:e>
          <m:sub>
            <m:r>
              <m:rPr>
                <m:nor/>
              </m:rPr>
              <w:rPr>
                <w:rFonts w:ascii="Cambria Math" w:eastAsia="Times New Roman" w:hAnsi="Cambria Math" w:cs="Times New Roman"/>
                <w:szCs w:val="20"/>
                <w:lang w:val="sv-SE" w:eastAsia="en-US"/>
              </w:rPr>
              <m:t>TA,adj</m:t>
            </m:r>
          </m:sub>
          <m:sup>
            <m:r>
              <m:rPr>
                <m:nor/>
              </m:rPr>
              <w:rPr>
                <w:rFonts w:ascii="Cambria Math" w:eastAsia="Times New Roman" w:hAnsi="Cambria Math" w:cs="Times New Roman"/>
                <w:szCs w:val="20"/>
                <w:lang w:val="sv-SE" w:eastAsia="en-US"/>
              </w:rPr>
              <m:t>UE</m:t>
            </m:r>
          </m:sup>
        </m:sSubSup>
      </m:oMath>
      <w:r w:rsidR="008E261E">
        <w:rPr>
          <w:szCs w:val="20"/>
          <w:lang w:val="en-GB" w:eastAsia="en-US"/>
        </w:rPr>
        <w:t xml:space="preserve"> </w:t>
      </w:r>
      <w:r>
        <w:rPr>
          <w:lang w:val="en-GB" w:eastAsia="en-US"/>
        </w:rPr>
        <w:t>and common TA</w:t>
      </w:r>
      <w:r w:rsidR="008E261E">
        <w:rPr>
          <w:lang w:val="en-GB" w:eastAsia="en-US"/>
        </w:rPr>
        <w:t xml:space="preserve"> </w:t>
      </w:r>
      <m:oMath>
        <m:sSubSup>
          <m:sSubSupPr>
            <m:ctrlPr>
              <w:rPr>
                <w:rFonts w:ascii="Cambria Math" w:eastAsia="Times New Roman" w:hAnsi="Cambria Math" w:cs="Times New Roman"/>
                <w:i/>
                <w:szCs w:val="20"/>
                <w:lang w:val="en-GB" w:eastAsia="en-US"/>
              </w:rPr>
            </m:ctrlPr>
          </m:sSubSupPr>
          <m:e>
            <m:r>
              <w:rPr>
                <w:rFonts w:ascii="Cambria Math" w:eastAsia="Times New Roman" w:hAnsi="Cambria Math" w:cs="Times New Roman"/>
                <w:szCs w:val="20"/>
                <w:lang w:val="en-GB" w:eastAsia="en-US"/>
              </w:rPr>
              <m:t>N</m:t>
            </m:r>
          </m:e>
          <m:sub>
            <m:r>
              <m:rPr>
                <m:nor/>
              </m:rPr>
              <w:rPr>
                <w:rFonts w:ascii="Cambria Math" w:eastAsia="Times New Roman" w:hAnsi="Cambria Math" w:cs="Times New Roman"/>
                <w:szCs w:val="20"/>
                <w:lang w:val="sv-SE" w:eastAsia="en-US"/>
              </w:rPr>
              <m:t>TA,adj</m:t>
            </m:r>
          </m:sub>
          <m:sup>
            <m:r>
              <m:rPr>
                <m:nor/>
              </m:rPr>
              <w:rPr>
                <w:rFonts w:ascii="Cambria Math" w:eastAsia="Times New Roman" w:hAnsi="Cambria Math" w:cs="Times New Roman"/>
                <w:szCs w:val="20"/>
                <w:lang w:val="sv-SE" w:eastAsia="en-US"/>
              </w:rPr>
              <m:t>common</m:t>
            </m:r>
          </m:sup>
        </m:sSubSup>
      </m:oMath>
      <w:r>
        <w:rPr>
          <w:lang w:val="en-GB" w:eastAsia="en-US"/>
        </w:rPr>
        <w:t xml:space="preserve">). Due to the fast movement of satellite, UE may not apply a precise pre-compensated TA for PRACH transmission. </w:t>
      </w:r>
      <w:r w:rsidR="00A23F58">
        <w:rPr>
          <w:lang w:val="en-GB" w:eastAsia="en-US"/>
        </w:rPr>
        <w:t>Basically</w:t>
      </w:r>
      <w:r>
        <w:rPr>
          <w:lang w:val="en-GB" w:eastAsia="en-US"/>
        </w:rPr>
        <w:t>, in both cases TA for PRACH transmission cannot be 100% accurate, and NW receives PRACH with no issue</w:t>
      </w:r>
      <w:r w:rsidR="00A23F58">
        <w:rPr>
          <w:lang w:val="en-GB" w:eastAsia="en-US"/>
        </w:rPr>
        <w:t xml:space="preserve"> by implementation,</w:t>
      </w:r>
      <w:r>
        <w:rPr>
          <w:lang w:val="en-GB" w:eastAsia="en-US"/>
        </w:rPr>
        <w:t xml:space="preserve"> </w:t>
      </w:r>
      <w:r w:rsidR="00A23F58">
        <w:rPr>
          <w:lang w:val="en-GB" w:eastAsia="en-US"/>
        </w:rPr>
        <w:t>f</w:t>
      </w:r>
      <w:r>
        <w:rPr>
          <w:lang w:val="en-GB" w:eastAsia="en-US"/>
        </w:rPr>
        <w:t xml:space="preserve">or example, certain timing offset and/or time window can be applied by the NW to handle PRACH transmission. </w:t>
      </w:r>
      <w:r w:rsidR="00802045">
        <w:rPr>
          <w:lang w:val="en-GB" w:eastAsia="en-US"/>
        </w:rPr>
        <w:t xml:space="preserve">Furthermore, NW can adjust the UE specific TA by sending TAC </w:t>
      </w:r>
      <w:r w:rsidR="00C152B1">
        <w:rPr>
          <w:lang w:val="en-GB" w:eastAsia="en-US"/>
        </w:rPr>
        <w:t xml:space="preserve">in RAR immediately in Msg2 and TAC </w:t>
      </w:r>
      <w:r w:rsidR="00802045">
        <w:rPr>
          <w:lang w:val="en-GB" w:eastAsia="en-US"/>
        </w:rPr>
        <w:t>MAC CE</w:t>
      </w:r>
      <w:r w:rsidR="00C152B1">
        <w:rPr>
          <w:lang w:val="en-GB" w:eastAsia="en-US"/>
        </w:rPr>
        <w:t xml:space="preserve"> whenever needed to update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N</m:t>
            </m:r>
          </m:e>
          <m:sub>
            <m:r>
              <m:rPr>
                <m:nor/>
              </m:rPr>
              <w:rPr>
                <w:rFonts w:ascii="Cambria Math" w:eastAsia="Times New Roman" w:hAnsi="Cambria Math" w:cs="Times New Roman"/>
                <w:szCs w:val="20"/>
                <w:lang w:val="sv-SE" w:eastAsia="en-US"/>
              </w:rPr>
              <m:t>TA</m:t>
            </m:r>
          </m:sub>
        </m:sSub>
      </m:oMath>
      <w:r w:rsidR="00802045">
        <w:rPr>
          <w:lang w:val="en-GB" w:eastAsia="en-US"/>
        </w:rPr>
        <w:t>. Now in regenerative payload scenario, there should be no issue for NW to receive PRACH simila</w:t>
      </w:r>
      <w:r w:rsidR="00D43549">
        <w:rPr>
          <w:lang w:val="en-GB" w:eastAsia="en-US"/>
        </w:rPr>
        <w:t>rly</w:t>
      </w:r>
      <w:r w:rsidR="00802045">
        <w:rPr>
          <w:lang w:val="en-GB" w:eastAsia="en-US"/>
        </w:rPr>
        <w:t>. Even if a UE pre-compensates a larger</w:t>
      </w:r>
      <w:r w:rsidR="002B2658">
        <w:rPr>
          <w:lang w:val="en-GB" w:eastAsia="en-US"/>
        </w:rPr>
        <w:t xml:space="preserve"> or smaller</w:t>
      </w:r>
      <w:r w:rsidR="00802045">
        <w:rPr>
          <w:lang w:val="en-GB" w:eastAsia="en-US"/>
        </w:rPr>
        <w:t xml:space="preserve"> TA value than the actual value, </w:t>
      </w:r>
      <w:r w:rsidR="00A24E68">
        <w:rPr>
          <w:lang w:val="en-GB" w:eastAsia="en-US"/>
        </w:rPr>
        <w:t xml:space="preserve">it does not cause any new issue. </w:t>
      </w:r>
      <w:r w:rsidR="00802045">
        <w:rPr>
          <w:lang w:val="en-GB" w:eastAsia="en-US"/>
        </w:rPr>
        <w:t xml:space="preserve">PRACH reception and </w:t>
      </w:r>
      <w:r w:rsidR="00C27E95">
        <w:rPr>
          <w:lang w:val="en-GB" w:eastAsia="en-US"/>
        </w:rPr>
        <w:t xml:space="preserve">UE specific </w:t>
      </w:r>
      <w:r w:rsidR="00802045">
        <w:rPr>
          <w:lang w:val="en-GB" w:eastAsia="en-US"/>
        </w:rPr>
        <w:t xml:space="preserve">TA adjustment </w:t>
      </w:r>
      <w:r w:rsidR="00A24E68">
        <w:rPr>
          <w:lang w:val="en-GB" w:eastAsia="en-US"/>
        </w:rPr>
        <w:t>can work well</w:t>
      </w:r>
      <w:r w:rsidR="00802045">
        <w:rPr>
          <w:lang w:val="en-GB" w:eastAsia="en-US"/>
        </w:rPr>
        <w:t xml:space="preserve">. </w:t>
      </w:r>
      <w:r w:rsidR="00D43549">
        <w:rPr>
          <w:lang w:val="en-GB" w:eastAsia="en-US"/>
        </w:rPr>
        <w:t xml:space="preserve">Thus, we don’t see any issue </w:t>
      </w:r>
      <w:r w:rsidR="009340CF">
        <w:rPr>
          <w:lang w:val="en-GB" w:eastAsia="en-US"/>
        </w:rPr>
        <w:t xml:space="preserve">to use </w:t>
      </w:r>
      <w:r w:rsidR="00D43549">
        <w:rPr>
          <w:lang w:val="en-GB" w:eastAsia="en-US"/>
        </w:rPr>
        <w:t>common TA with value 0.</w:t>
      </w:r>
    </w:p>
    <w:p w14:paraId="4FA2DBC1" w14:textId="40AAE275" w:rsidR="00C3706C" w:rsidRDefault="00802045" w:rsidP="00D76D31">
      <w:pPr>
        <w:spacing w:before="240" w:after="0"/>
        <w:rPr>
          <w:lang w:val="en-GB" w:eastAsia="en-US"/>
        </w:rPr>
      </w:pPr>
      <w:r>
        <w:rPr>
          <w:lang w:val="en-GB" w:eastAsia="en-US"/>
        </w:rPr>
        <w:t>In contrast, using a negative value of common TA is basically introducing an error in the pre-compensated TA for all UEs in a cell</w:t>
      </w:r>
      <w:r w:rsidR="00A24E68">
        <w:rPr>
          <w:lang w:val="en-GB" w:eastAsia="en-US"/>
        </w:rPr>
        <w:t>. This will cause more issues, e.g., how to determine the negative value</w:t>
      </w:r>
      <w:r w:rsidR="00D96BB7">
        <w:rPr>
          <w:lang w:val="en-GB" w:eastAsia="en-US"/>
        </w:rPr>
        <w:t>, etc.</w:t>
      </w:r>
      <w:r>
        <w:rPr>
          <w:lang w:val="en-GB" w:eastAsia="en-US"/>
        </w:rPr>
        <w:t xml:space="preserve">. </w:t>
      </w:r>
      <w:r w:rsidR="00A24E68">
        <w:rPr>
          <w:lang w:val="en-GB" w:eastAsia="en-US"/>
        </w:rPr>
        <w:t>What’s worse is that for a UE that can estimate an accurate TA its</w:t>
      </w:r>
      <w:r>
        <w:rPr>
          <w:lang w:val="en-GB" w:eastAsia="en-US"/>
        </w:rPr>
        <w:t xml:space="preserve"> actual pre-compensated TA will become inaccurate due to this intentionally introduced error. </w:t>
      </w:r>
      <w:r w:rsidR="00A24E68">
        <w:rPr>
          <w:lang w:val="en-GB" w:eastAsia="en-US"/>
        </w:rPr>
        <w:t>Therefore, we don’t see any benefit of negative common TA.</w:t>
      </w:r>
    </w:p>
    <w:p w14:paraId="474803C2" w14:textId="00EF2561" w:rsidR="001F0FE1" w:rsidRDefault="002653DD" w:rsidP="00D614F3">
      <w:pPr>
        <w:rPr>
          <w:lang w:val="en-GB" w:eastAsia="en-US"/>
        </w:rPr>
      </w:pPr>
      <w:r>
        <w:rPr>
          <w:b/>
          <w:lang w:val="en-GB" w:eastAsia="en-US"/>
        </w:rPr>
        <w:t xml:space="preserve">Proposal </w:t>
      </w:r>
      <w:r w:rsidR="008C2EBA">
        <w:rPr>
          <w:b/>
          <w:lang w:val="en-GB" w:eastAsia="en-US"/>
        </w:rPr>
        <w:t>5</w:t>
      </w:r>
      <w:r w:rsidRPr="00F4579A">
        <w:rPr>
          <w:b/>
          <w:lang w:val="en-GB" w:eastAsia="en-US"/>
        </w:rPr>
        <w:t xml:space="preserve">: </w:t>
      </w:r>
      <w:r w:rsidR="00A24E68">
        <w:rPr>
          <w:b/>
          <w:lang w:val="en-GB" w:eastAsia="en-US"/>
        </w:rPr>
        <w:t xml:space="preserve">In regenerative payload scenario, </w:t>
      </w:r>
      <w:r w:rsidR="006810DA">
        <w:rPr>
          <w:b/>
          <w:lang w:val="en-GB" w:eastAsia="en-US"/>
        </w:rPr>
        <w:t xml:space="preserve">RAN2 confirms </w:t>
      </w:r>
      <w:r w:rsidR="00A24E68">
        <w:rPr>
          <w:b/>
          <w:lang w:val="en-GB" w:eastAsia="en-US"/>
        </w:rPr>
        <w:t>common TA</w:t>
      </w:r>
      <w:r w:rsidR="00D43549">
        <w:rPr>
          <w:b/>
          <w:lang w:val="en-GB" w:eastAsia="en-US"/>
        </w:rPr>
        <w:t xml:space="preserve"> value</w:t>
      </w:r>
      <w:r w:rsidR="00A24E68">
        <w:rPr>
          <w:b/>
          <w:lang w:val="en-GB" w:eastAsia="en-US"/>
        </w:rPr>
        <w:t xml:space="preserve"> is 0. </w:t>
      </w:r>
      <w:r>
        <w:rPr>
          <w:b/>
          <w:lang w:val="en-GB" w:eastAsia="en-US"/>
        </w:rPr>
        <w:t xml:space="preserve"> </w:t>
      </w:r>
      <w:r w:rsidRPr="00F4579A">
        <w:rPr>
          <w:b/>
          <w:lang w:val="en-GB" w:eastAsia="en-US"/>
        </w:rPr>
        <w:t xml:space="preserve"> </w:t>
      </w:r>
    </w:p>
    <w:p w14:paraId="5FF2457F" w14:textId="72E1A9E3" w:rsidR="00A209D6" w:rsidRPr="006E13D1" w:rsidRDefault="008C3057" w:rsidP="003F11FC">
      <w:pPr>
        <w:pStyle w:val="Heading1"/>
        <w:jc w:val="both"/>
      </w:pPr>
      <w:r>
        <w:t>Conclusion</w:t>
      </w:r>
    </w:p>
    <w:p w14:paraId="6B206649" w14:textId="3A33D169"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840024">
        <w:rPr>
          <w:lang w:eastAsia="ko-KR"/>
        </w:rPr>
        <w:t xml:space="preserve">issues related to </w:t>
      </w:r>
      <w:r w:rsidR="004F358C">
        <w:rPr>
          <w:lang w:eastAsia="ko-KR"/>
        </w:rPr>
        <w:t>regenerative payload for NR NTN</w:t>
      </w:r>
      <w:r w:rsidR="006D3140">
        <w:rPr>
          <w:lang w:eastAsia="ko-KR"/>
        </w:rPr>
        <w:t>.</w:t>
      </w:r>
    </w:p>
    <w:p w14:paraId="5E9516E4" w14:textId="77777777" w:rsidR="00D76D31" w:rsidRPr="00F4579A" w:rsidRDefault="00D76D31" w:rsidP="00D76D31">
      <w:pPr>
        <w:rPr>
          <w:b/>
          <w:lang w:val="en-GB" w:eastAsia="en-US"/>
        </w:rPr>
      </w:pPr>
      <w:r>
        <w:rPr>
          <w:b/>
          <w:lang w:val="en-GB" w:eastAsia="en-US"/>
        </w:rPr>
        <w:t>Proposal 1</w:t>
      </w:r>
      <w:r w:rsidRPr="00F4579A">
        <w:rPr>
          <w:b/>
          <w:lang w:val="en-GB" w:eastAsia="en-US"/>
        </w:rPr>
        <w:t xml:space="preserve">: </w:t>
      </w:r>
      <w:r>
        <w:rPr>
          <w:b/>
          <w:lang w:val="en-GB" w:eastAsia="en-US"/>
        </w:rPr>
        <w:t xml:space="preserve">E-UTRAN to NR NTN re-direction via </w:t>
      </w:r>
      <w:r w:rsidRPr="00770C5E">
        <w:rPr>
          <w:b/>
          <w:i/>
          <w:lang w:val="en-GB" w:eastAsia="en-US"/>
        </w:rPr>
        <w:t>RRCConnectionRelease</w:t>
      </w:r>
      <w:r>
        <w:rPr>
          <w:b/>
          <w:lang w:val="en-GB" w:eastAsia="en-US"/>
        </w:rPr>
        <w:t xml:space="preserve"> is considered supported if UE supports Rel-17 NTN and no new UE capability is required for this. </w:t>
      </w:r>
      <w:r w:rsidRPr="00F4579A">
        <w:rPr>
          <w:b/>
          <w:lang w:val="en-GB" w:eastAsia="en-US"/>
        </w:rPr>
        <w:t xml:space="preserve"> </w:t>
      </w:r>
    </w:p>
    <w:p w14:paraId="36F66B13" w14:textId="77777777" w:rsidR="00D76D31" w:rsidRPr="00F4579A" w:rsidRDefault="00D76D31" w:rsidP="00D76D31">
      <w:pPr>
        <w:rPr>
          <w:b/>
          <w:lang w:val="en-GB" w:eastAsia="en-US"/>
        </w:rPr>
      </w:pPr>
      <w:r>
        <w:rPr>
          <w:b/>
          <w:lang w:val="en-GB" w:eastAsia="en-US"/>
        </w:rPr>
        <w:t>Proposal 2</w:t>
      </w:r>
      <w:r w:rsidRPr="00F4579A">
        <w:rPr>
          <w:b/>
          <w:lang w:val="en-GB" w:eastAsia="en-US"/>
        </w:rPr>
        <w:t xml:space="preserve">: </w:t>
      </w:r>
      <w:r>
        <w:rPr>
          <w:b/>
          <w:lang w:val="en-GB" w:eastAsia="en-US"/>
        </w:rPr>
        <w:t xml:space="preserve">RAN2 can discuss new assistance information for E-UTRAN to NR NTN redirection, for which a new capability can be considered to be required. </w:t>
      </w:r>
      <w:r w:rsidRPr="00F4579A">
        <w:rPr>
          <w:b/>
          <w:lang w:val="en-GB" w:eastAsia="en-US"/>
        </w:rPr>
        <w:t xml:space="preserve"> </w:t>
      </w:r>
    </w:p>
    <w:p w14:paraId="3C9A21A9" w14:textId="77777777" w:rsidR="00D76D31" w:rsidRPr="00F4579A" w:rsidRDefault="00D76D31" w:rsidP="00D76D31">
      <w:pPr>
        <w:rPr>
          <w:b/>
          <w:lang w:val="en-GB" w:eastAsia="en-US"/>
        </w:rPr>
      </w:pPr>
      <w:r>
        <w:rPr>
          <w:b/>
          <w:lang w:val="en-GB" w:eastAsia="en-US"/>
        </w:rPr>
        <w:t>Proposal 3</w:t>
      </w:r>
      <w:r w:rsidRPr="00F4579A">
        <w:rPr>
          <w:b/>
          <w:lang w:val="en-GB" w:eastAsia="en-US"/>
        </w:rPr>
        <w:t xml:space="preserve">: </w:t>
      </w:r>
      <w:r>
        <w:rPr>
          <w:b/>
          <w:lang w:val="en-GB" w:eastAsia="en-US"/>
        </w:rPr>
        <w:t xml:space="preserve">Polarization should not be signalled per satellite in satelliteInfoList-r19. </w:t>
      </w:r>
      <w:r w:rsidRPr="00F4579A">
        <w:rPr>
          <w:b/>
          <w:lang w:val="en-GB" w:eastAsia="en-US"/>
        </w:rPr>
        <w:t xml:space="preserve"> </w:t>
      </w:r>
    </w:p>
    <w:p w14:paraId="000A20A6" w14:textId="77777777" w:rsidR="00D76D31" w:rsidRPr="00F4579A" w:rsidRDefault="00D76D31" w:rsidP="00D76D31">
      <w:pPr>
        <w:rPr>
          <w:b/>
          <w:lang w:val="en-GB" w:eastAsia="en-US"/>
        </w:rPr>
      </w:pPr>
      <w:r>
        <w:rPr>
          <w:b/>
          <w:lang w:val="en-GB" w:eastAsia="en-US"/>
        </w:rPr>
        <w:t>Proposal 4</w:t>
      </w:r>
      <w:r w:rsidRPr="00F4579A">
        <w:rPr>
          <w:b/>
          <w:lang w:val="en-GB" w:eastAsia="en-US"/>
        </w:rPr>
        <w:t xml:space="preserve">: </w:t>
      </w:r>
      <w:r>
        <w:rPr>
          <w:b/>
          <w:lang w:val="en-GB" w:eastAsia="en-US"/>
        </w:rPr>
        <w:t xml:space="preserve">RAN2 to discuss how the polarization mode can be signalled per cell or whether it is needed at all. </w:t>
      </w:r>
      <w:r w:rsidRPr="00F4579A">
        <w:rPr>
          <w:b/>
          <w:lang w:val="en-GB" w:eastAsia="en-US"/>
        </w:rPr>
        <w:t xml:space="preserve"> </w:t>
      </w:r>
    </w:p>
    <w:p w14:paraId="7E2ED93C" w14:textId="77777777" w:rsidR="00D76D31" w:rsidRDefault="00D76D31" w:rsidP="00D76D31">
      <w:pPr>
        <w:rPr>
          <w:lang w:val="en-GB" w:eastAsia="en-US"/>
        </w:rPr>
      </w:pPr>
      <w:r>
        <w:rPr>
          <w:b/>
          <w:lang w:val="en-GB" w:eastAsia="en-US"/>
        </w:rPr>
        <w:lastRenderedPageBreak/>
        <w:t>Proposal 5</w:t>
      </w:r>
      <w:r w:rsidRPr="00F4579A">
        <w:rPr>
          <w:b/>
          <w:lang w:val="en-GB" w:eastAsia="en-US"/>
        </w:rPr>
        <w:t xml:space="preserve">: </w:t>
      </w:r>
      <w:r>
        <w:rPr>
          <w:b/>
          <w:lang w:val="en-GB" w:eastAsia="en-US"/>
        </w:rPr>
        <w:t xml:space="preserve">In regenerative payload scenario, RAN2 confirms common TA value is 0.  </w:t>
      </w:r>
      <w:r w:rsidRPr="00F4579A">
        <w:rPr>
          <w:b/>
          <w:lang w:val="en-GB" w:eastAsia="en-US"/>
        </w:rPr>
        <w:t xml:space="preserve"> </w:t>
      </w:r>
    </w:p>
    <w:p w14:paraId="6408D72B" w14:textId="59651DF4" w:rsidR="0083484D" w:rsidRPr="00FF7C4E" w:rsidRDefault="00051DF8" w:rsidP="0083484D">
      <w:pPr>
        <w:pStyle w:val="Heading1"/>
      </w:pPr>
      <w:r>
        <w:t>Reference</w:t>
      </w:r>
      <w:r w:rsidR="0083484D" w:rsidRPr="00001886">
        <w:t xml:space="preserve"> </w:t>
      </w:r>
    </w:p>
    <w:p w14:paraId="0D2B1EFD" w14:textId="0433105A" w:rsidR="00953A6C" w:rsidRPr="00953A6C" w:rsidRDefault="00953A6C" w:rsidP="00953A6C">
      <w:pPr>
        <w:pStyle w:val="references"/>
        <w:spacing w:after="180" w:line="240" w:lineRule="auto"/>
        <w:rPr>
          <w:szCs w:val="20"/>
        </w:rPr>
      </w:pPr>
      <w:r>
        <w:rPr>
          <w:rFonts w:ascii="Arial" w:hAnsi="Arial" w:cs="Arial"/>
          <w:szCs w:val="20"/>
        </w:rPr>
        <w:t>RP-240846, New WID: Inter RAT mobility support from E-UTRAN TN to NR-NTN, Thales, CATT, RAN#103, Maastrict, Netherlands, March 2024</w:t>
      </w:r>
    </w:p>
    <w:p w14:paraId="69C535A8" w14:textId="606E93DB" w:rsidR="00D32165" w:rsidRPr="00901704" w:rsidRDefault="00D32165" w:rsidP="00BF409E">
      <w:pPr>
        <w:pStyle w:val="references"/>
        <w:spacing w:after="180" w:line="240" w:lineRule="auto"/>
        <w:rPr>
          <w:szCs w:val="20"/>
        </w:rPr>
      </w:pPr>
      <w:r>
        <w:rPr>
          <w:rFonts w:ascii="Arial" w:hAnsi="Arial" w:cs="Arial"/>
          <w:szCs w:val="20"/>
        </w:rPr>
        <w:t>RP-2</w:t>
      </w:r>
      <w:r w:rsidR="00CB2E21">
        <w:rPr>
          <w:rFonts w:ascii="Arial" w:hAnsi="Arial" w:cs="Arial"/>
          <w:szCs w:val="20"/>
        </w:rPr>
        <w:t>41667</w:t>
      </w:r>
      <w:r>
        <w:rPr>
          <w:rFonts w:ascii="Arial" w:hAnsi="Arial" w:cs="Arial"/>
          <w:szCs w:val="20"/>
        </w:rPr>
        <w:t xml:space="preserve">, </w:t>
      </w:r>
      <w:r w:rsidR="00363517">
        <w:rPr>
          <w:rFonts w:ascii="Arial" w:hAnsi="Arial" w:cs="Arial"/>
          <w:szCs w:val="20"/>
        </w:rPr>
        <w:t>Revised WID: Non-Terrestrial Networks (NTN) for NR Phase 3</w:t>
      </w:r>
      <w:r>
        <w:rPr>
          <w:rFonts w:ascii="Arial" w:hAnsi="Arial" w:cs="Arial"/>
          <w:szCs w:val="20"/>
        </w:rPr>
        <w:t xml:space="preserve">, </w:t>
      </w:r>
      <w:r w:rsidR="0091471D">
        <w:rPr>
          <w:rFonts w:ascii="Arial" w:hAnsi="Arial" w:cs="Arial"/>
          <w:szCs w:val="20"/>
        </w:rPr>
        <w:t>Thales, CATT, RAN#10</w:t>
      </w:r>
      <w:r w:rsidR="00CB2E21">
        <w:rPr>
          <w:rFonts w:ascii="Arial" w:hAnsi="Arial" w:cs="Arial"/>
          <w:szCs w:val="20"/>
        </w:rPr>
        <w:t>4</w:t>
      </w:r>
      <w:r>
        <w:rPr>
          <w:rFonts w:ascii="Arial" w:hAnsi="Arial" w:cs="Arial"/>
          <w:szCs w:val="20"/>
        </w:rPr>
        <w:t>,</w:t>
      </w:r>
      <w:r w:rsidR="0091471D">
        <w:rPr>
          <w:rFonts w:ascii="Arial" w:hAnsi="Arial" w:cs="Arial"/>
          <w:szCs w:val="20"/>
        </w:rPr>
        <w:t xml:space="preserve"> </w:t>
      </w:r>
      <w:r w:rsidR="00CB2E21">
        <w:rPr>
          <w:rFonts w:ascii="Arial" w:hAnsi="Arial" w:cs="Arial"/>
          <w:szCs w:val="20"/>
        </w:rPr>
        <w:t>Shanghai, China, June</w:t>
      </w:r>
      <w:r>
        <w:rPr>
          <w:rFonts w:ascii="Arial" w:hAnsi="Arial" w:cs="Arial"/>
          <w:szCs w:val="20"/>
        </w:rPr>
        <w:t xml:space="preserve"> 202</w:t>
      </w:r>
      <w:r w:rsidR="0091471D">
        <w:rPr>
          <w:rFonts w:ascii="Arial" w:hAnsi="Arial" w:cs="Arial"/>
          <w:szCs w:val="20"/>
        </w:rPr>
        <w:t>4</w:t>
      </w:r>
      <w:r w:rsidR="00E96124">
        <w:rPr>
          <w:rFonts w:ascii="Arial" w:hAnsi="Arial" w:cs="Arial"/>
          <w:szCs w:val="20"/>
        </w:rPr>
        <w:t xml:space="preserve">. </w:t>
      </w:r>
    </w:p>
    <w:p w14:paraId="0E2D6087" w14:textId="4D5466C2" w:rsidR="009607A6" w:rsidRPr="00C3706C" w:rsidRDefault="00901704" w:rsidP="00121F98">
      <w:pPr>
        <w:pStyle w:val="references"/>
        <w:spacing w:after="180" w:line="240" w:lineRule="auto"/>
        <w:rPr>
          <w:lang w:val="en-GB"/>
        </w:rPr>
      </w:pPr>
      <w:r>
        <w:rPr>
          <w:rFonts w:ascii="Arial" w:hAnsi="Arial" w:cs="Arial"/>
          <w:szCs w:val="20"/>
        </w:rPr>
        <w:t>R2-240</w:t>
      </w:r>
      <w:r w:rsidR="00121F98">
        <w:rPr>
          <w:rFonts w:ascii="Arial" w:hAnsi="Arial" w:cs="Arial"/>
          <w:szCs w:val="20"/>
        </w:rPr>
        <w:t xml:space="preserve">6636, Discussion on regenerative payload, Qualcomm Incorporated, RAN2#127, Maastricht, Netherlands, August 2024. </w:t>
      </w:r>
    </w:p>
    <w:p w14:paraId="39F6FCEE" w14:textId="3E4CE506" w:rsidR="00C3706C" w:rsidRDefault="00C3706C" w:rsidP="00121F98">
      <w:pPr>
        <w:pStyle w:val="references"/>
        <w:spacing w:after="180" w:line="240" w:lineRule="auto"/>
        <w:rPr>
          <w:rFonts w:ascii="Arial" w:hAnsi="Arial" w:cs="Arial"/>
          <w:szCs w:val="20"/>
        </w:rPr>
      </w:pPr>
      <w:r w:rsidRPr="00C3706C">
        <w:rPr>
          <w:rFonts w:ascii="Arial" w:hAnsi="Arial" w:cs="Arial"/>
          <w:szCs w:val="20"/>
        </w:rPr>
        <w:t>R2-2409512</w:t>
      </w:r>
      <w:r>
        <w:rPr>
          <w:rFonts w:ascii="Arial" w:hAnsi="Arial" w:cs="Arial"/>
          <w:szCs w:val="20"/>
        </w:rPr>
        <w:t xml:space="preserve">, </w:t>
      </w:r>
      <w:r w:rsidRPr="00C3706C">
        <w:rPr>
          <w:rFonts w:ascii="Arial" w:hAnsi="Arial" w:cs="Arial"/>
          <w:szCs w:val="20"/>
        </w:rPr>
        <w:t>Reply LS on common TA in a regenerative payload scenario</w:t>
      </w:r>
    </w:p>
    <w:p w14:paraId="26FAF10F" w14:textId="1D4B5E01" w:rsidR="00C3706C" w:rsidRPr="00C3706C" w:rsidRDefault="00C3706C" w:rsidP="00121F98">
      <w:pPr>
        <w:pStyle w:val="references"/>
        <w:spacing w:after="180" w:line="240" w:lineRule="auto"/>
        <w:rPr>
          <w:rFonts w:ascii="Arial" w:hAnsi="Arial" w:cs="Arial"/>
          <w:szCs w:val="20"/>
        </w:rPr>
      </w:pPr>
      <w:r w:rsidRPr="00C3706C">
        <w:rPr>
          <w:rFonts w:ascii="Arial" w:hAnsi="Arial" w:cs="Arial"/>
          <w:szCs w:val="20"/>
        </w:rPr>
        <w:t xml:space="preserve">R2-2409522, Reply LS on </w:t>
      </w:r>
      <w:r w:rsidRPr="00C3706C">
        <w:rPr>
          <w:rFonts w:ascii="Arial" w:hAnsi="Arial" w:cs="Arial" w:hint="eastAsia"/>
          <w:szCs w:val="20"/>
        </w:rPr>
        <w:t>common TA</w:t>
      </w:r>
      <w:r>
        <w:rPr>
          <w:rFonts w:ascii="Arial" w:eastAsia="DengXian" w:hAnsi="Arial" w:cs="Arial" w:hint="eastAsia"/>
        </w:rPr>
        <w:t xml:space="preserve"> in a regenerative payload scenario</w:t>
      </w:r>
    </w:p>
    <w:p w14:paraId="7DE0901A" w14:textId="7656600F"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7E8E7E" w16cid:durableId="2AD5E116"/>
  <w16cid:commentId w16cid:paraId="1B5AB1F2" w16cid:durableId="2AD6664A"/>
  <w16cid:commentId w16cid:paraId="4A0BE312" w16cid:durableId="2AD5E155"/>
  <w16cid:commentId w16cid:paraId="6EA058FE" w16cid:durableId="2AD665F7"/>
  <w16cid:commentId w16cid:paraId="4337FDD3" w16cid:durableId="2AD66765"/>
  <w16cid:commentId w16cid:paraId="5C829041" w16cid:durableId="2AD6677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A6A3E" w14:textId="77777777" w:rsidR="003F347B" w:rsidRDefault="003F347B" w:rsidP="00051DF8">
      <w:r>
        <w:separator/>
      </w:r>
    </w:p>
  </w:endnote>
  <w:endnote w:type="continuationSeparator" w:id="0">
    <w:p w14:paraId="1B92994A" w14:textId="77777777" w:rsidR="003F347B" w:rsidRDefault="003F347B" w:rsidP="00051DF8">
      <w:r>
        <w:continuationSeparator/>
      </w:r>
    </w:p>
  </w:endnote>
  <w:endnote w:type="continuationNotice" w:id="1">
    <w:p w14:paraId="03AA5403" w14:textId="77777777" w:rsidR="003F347B" w:rsidRDefault="003F347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0B877" w14:textId="77777777" w:rsidR="003F347B" w:rsidRDefault="003F347B" w:rsidP="00051DF8">
      <w:r>
        <w:separator/>
      </w:r>
    </w:p>
  </w:footnote>
  <w:footnote w:type="continuationSeparator" w:id="0">
    <w:p w14:paraId="1E697213" w14:textId="77777777" w:rsidR="003F347B" w:rsidRDefault="003F347B" w:rsidP="00051DF8">
      <w:r>
        <w:continuationSeparator/>
      </w:r>
    </w:p>
  </w:footnote>
  <w:footnote w:type="continuationNotice" w:id="1">
    <w:p w14:paraId="0985D5FF" w14:textId="77777777" w:rsidR="003F347B" w:rsidRDefault="003F347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0074A4"/>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3B85C72"/>
    <w:multiLevelType w:val="multilevel"/>
    <w:tmpl w:val="63B85C72"/>
    <w:lvl w:ilvl="0">
      <w:start w:val="8"/>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0"/>
  </w:num>
  <w:num w:numId="2">
    <w:abstractNumId w:val="42"/>
  </w:num>
  <w:num w:numId="3">
    <w:abstractNumId w:val="29"/>
  </w:num>
  <w:num w:numId="4">
    <w:abstractNumId w:val="25"/>
  </w:num>
  <w:num w:numId="5">
    <w:abstractNumId w:val="26"/>
  </w:num>
  <w:num w:numId="6">
    <w:abstractNumId w:val="22"/>
  </w:num>
  <w:num w:numId="7">
    <w:abstractNumId w:val="15"/>
  </w:num>
  <w:num w:numId="8">
    <w:abstractNumId w:val="27"/>
  </w:num>
  <w:num w:numId="9">
    <w:abstractNumId w:val="17"/>
  </w:num>
  <w:num w:numId="10">
    <w:abstractNumId w:val="24"/>
  </w:num>
  <w:num w:numId="11">
    <w:abstractNumId w:val="1"/>
  </w:num>
  <w:num w:numId="12">
    <w:abstractNumId w:val="4"/>
  </w:num>
  <w:num w:numId="13">
    <w:abstractNumId w:val="30"/>
  </w:num>
  <w:num w:numId="14">
    <w:abstractNumId w:val="0"/>
  </w:num>
  <w:num w:numId="15">
    <w:abstractNumId w:val="28"/>
  </w:num>
  <w:num w:numId="16">
    <w:abstractNumId w:val="34"/>
  </w:num>
  <w:num w:numId="17">
    <w:abstractNumId w:val="39"/>
  </w:num>
  <w:num w:numId="18">
    <w:abstractNumId w:val="47"/>
  </w:num>
  <w:num w:numId="19">
    <w:abstractNumId w:val="19"/>
  </w:num>
  <w:num w:numId="20">
    <w:abstractNumId w:val="32"/>
  </w:num>
  <w:num w:numId="21">
    <w:abstractNumId w:val="3"/>
  </w:num>
  <w:num w:numId="22">
    <w:abstractNumId w:val="6"/>
  </w:num>
  <w:num w:numId="23">
    <w:abstractNumId w:val="45"/>
  </w:num>
  <w:num w:numId="24">
    <w:abstractNumId w:val="8"/>
  </w:num>
  <w:num w:numId="25">
    <w:abstractNumId w:val="36"/>
  </w:num>
  <w:num w:numId="26">
    <w:abstractNumId w:val="18"/>
  </w:num>
  <w:num w:numId="27">
    <w:abstractNumId w:val="7"/>
  </w:num>
  <w:num w:numId="28">
    <w:abstractNumId w:val="23"/>
  </w:num>
  <w:num w:numId="29">
    <w:abstractNumId w:val="12"/>
  </w:num>
  <w:num w:numId="30">
    <w:abstractNumId w:val="48"/>
  </w:num>
  <w:num w:numId="31">
    <w:abstractNumId w:val="43"/>
  </w:num>
  <w:num w:numId="32">
    <w:abstractNumId w:val="11"/>
  </w:num>
  <w:num w:numId="33">
    <w:abstractNumId w:val="20"/>
  </w:num>
  <w:num w:numId="34">
    <w:abstractNumId w:val="21"/>
  </w:num>
  <w:num w:numId="35">
    <w:abstractNumId w:val="38"/>
  </w:num>
  <w:num w:numId="36">
    <w:abstractNumId w:val="5"/>
  </w:num>
  <w:num w:numId="37">
    <w:abstractNumId w:val="10"/>
  </w:num>
  <w:num w:numId="38">
    <w:abstractNumId w:val="31"/>
  </w:num>
  <w:num w:numId="39">
    <w:abstractNumId w:val="13"/>
  </w:num>
  <w:num w:numId="40">
    <w:abstractNumId w:val="14"/>
  </w:num>
  <w:num w:numId="41">
    <w:abstractNumId w:val="33"/>
  </w:num>
  <w:num w:numId="42">
    <w:abstractNumId w:val="16"/>
  </w:num>
  <w:num w:numId="43">
    <w:abstractNumId w:val="2"/>
  </w:num>
  <w:num w:numId="44">
    <w:abstractNumId w:val="41"/>
  </w:num>
  <w:num w:numId="45">
    <w:abstractNumId w:val="44"/>
  </w:num>
  <w:num w:numId="46">
    <w:abstractNumId w:val="46"/>
  </w:num>
  <w:num w:numId="47">
    <w:abstractNumId w:val="35"/>
  </w:num>
  <w:num w:numId="48">
    <w:abstractNumId w:val="9"/>
  </w:num>
  <w:num w:numId="49">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20F"/>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344"/>
    <w:rsid w:val="00042C77"/>
    <w:rsid w:val="0004383E"/>
    <w:rsid w:val="0004585B"/>
    <w:rsid w:val="000472BC"/>
    <w:rsid w:val="00050715"/>
    <w:rsid w:val="000516AD"/>
    <w:rsid w:val="00051A55"/>
    <w:rsid w:val="00051D35"/>
    <w:rsid w:val="00051DF8"/>
    <w:rsid w:val="00051EFD"/>
    <w:rsid w:val="00052840"/>
    <w:rsid w:val="0005302A"/>
    <w:rsid w:val="0005588D"/>
    <w:rsid w:val="000608C1"/>
    <w:rsid w:val="00060D3E"/>
    <w:rsid w:val="00064501"/>
    <w:rsid w:val="000647B6"/>
    <w:rsid w:val="00064A09"/>
    <w:rsid w:val="00064E50"/>
    <w:rsid w:val="00065268"/>
    <w:rsid w:val="00070BD9"/>
    <w:rsid w:val="00071C4F"/>
    <w:rsid w:val="00072646"/>
    <w:rsid w:val="00073C9C"/>
    <w:rsid w:val="00074686"/>
    <w:rsid w:val="0007792A"/>
    <w:rsid w:val="00080512"/>
    <w:rsid w:val="00081240"/>
    <w:rsid w:val="000824A8"/>
    <w:rsid w:val="0008378E"/>
    <w:rsid w:val="00085269"/>
    <w:rsid w:val="00086753"/>
    <w:rsid w:val="00086ED6"/>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2598"/>
    <w:rsid w:val="000B40D8"/>
    <w:rsid w:val="000B4877"/>
    <w:rsid w:val="000B6398"/>
    <w:rsid w:val="000B7BCF"/>
    <w:rsid w:val="000C18FE"/>
    <w:rsid w:val="000C259D"/>
    <w:rsid w:val="000C2B2C"/>
    <w:rsid w:val="000C522B"/>
    <w:rsid w:val="000C5340"/>
    <w:rsid w:val="000C5E68"/>
    <w:rsid w:val="000D2E51"/>
    <w:rsid w:val="000D3336"/>
    <w:rsid w:val="000D4B95"/>
    <w:rsid w:val="000D58AB"/>
    <w:rsid w:val="000D64F1"/>
    <w:rsid w:val="000D6E3F"/>
    <w:rsid w:val="000D75DC"/>
    <w:rsid w:val="000E01FF"/>
    <w:rsid w:val="000E22C8"/>
    <w:rsid w:val="000E3934"/>
    <w:rsid w:val="000E4069"/>
    <w:rsid w:val="000E47EB"/>
    <w:rsid w:val="000E505B"/>
    <w:rsid w:val="000E5108"/>
    <w:rsid w:val="000E55A4"/>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4ED6"/>
    <w:rsid w:val="00105DA8"/>
    <w:rsid w:val="0010781D"/>
    <w:rsid w:val="00111BB4"/>
    <w:rsid w:val="00112AE8"/>
    <w:rsid w:val="00112F1A"/>
    <w:rsid w:val="001153EE"/>
    <w:rsid w:val="00116E36"/>
    <w:rsid w:val="00117C7C"/>
    <w:rsid w:val="0012049E"/>
    <w:rsid w:val="001209F8"/>
    <w:rsid w:val="00121F9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0FC1"/>
    <w:rsid w:val="00152D97"/>
    <w:rsid w:val="001558CB"/>
    <w:rsid w:val="00156938"/>
    <w:rsid w:val="00157AC3"/>
    <w:rsid w:val="001617E5"/>
    <w:rsid w:val="00161BC0"/>
    <w:rsid w:val="0016264E"/>
    <w:rsid w:val="001644D9"/>
    <w:rsid w:val="00165A0D"/>
    <w:rsid w:val="00166728"/>
    <w:rsid w:val="00166EA2"/>
    <w:rsid w:val="0016769C"/>
    <w:rsid w:val="00170047"/>
    <w:rsid w:val="00171DA1"/>
    <w:rsid w:val="001741A0"/>
    <w:rsid w:val="00174291"/>
    <w:rsid w:val="00174398"/>
    <w:rsid w:val="00174711"/>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0F07"/>
    <w:rsid w:val="00191EFD"/>
    <w:rsid w:val="001920E7"/>
    <w:rsid w:val="001921CE"/>
    <w:rsid w:val="00194515"/>
    <w:rsid w:val="00194CD0"/>
    <w:rsid w:val="0019500E"/>
    <w:rsid w:val="00195FB0"/>
    <w:rsid w:val="001962AF"/>
    <w:rsid w:val="00196550"/>
    <w:rsid w:val="00197FF3"/>
    <w:rsid w:val="001A18D7"/>
    <w:rsid w:val="001A1A8D"/>
    <w:rsid w:val="001A1B04"/>
    <w:rsid w:val="001A63A7"/>
    <w:rsid w:val="001A6EB8"/>
    <w:rsid w:val="001A7CD4"/>
    <w:rsid w:val="001B1BDE"/>
    <w:rsid w:val="001B1DB9"/>
    <w:rsid w:val="001B1E91"/>
    <w:rsid w:val="001B1FA7"/>
    <w:rsid w:val="001B3311"/>
    <w:rsid w:val="001B349E"/>
    <w:rsid w:val="001B41D2"/>
    <w:rsid w:val="001B49C9"/>
    <w:rsid w:val="001B5A48"/>
    <w:rsid w:val="001C23F4"/>
    <w:rsid w:val="001C3543"/>
    <w:rsid w:val="001C4AC4"/>
    <w:rsid w:val="001C4CEA"/>
    <w:rsid w:val="001C4F79"/>
    <w:rsid w:val="001C77C4"/>
    <w:rsid w:val="001D0C63"/>
    <w:rsid w:val="001D1DAA"/>
    <w:rsid w:val="001D2844"/>
    <w:rsid w:val="001D4AF0"/>
    <w:rsid w:val="001D6647"/>
    <w:rsid w:val="001E2E76"/>
    <w:rsid w:val="001E2FCC"/>
    <w:rsid w:val="001E3487"/>
    <w:rsid w:val="001E44A9"/>
    <w:rsid w:val="001F0FE1"/>
    <w:rsid w:val="001F168B"/>
    <w:rsid w:val="001F4157"/>
    <w:rsid w:val="001F7831"/>
    <w:rsid w:val="002013CD"/>
    <w:rsid w:val="00201BD1"/>
    <w:rsid w:val="00203174"/>
    <w:rsid w:val="0020379D"/>
    <w:rsid w:val="00204045"/>
    <w:rsid w:val="0020712B"/>
    <w:rsid w:val="0021231D"/>
    <w:rsid w:val="00212942"/>
    <w:rsid w:val="00214588"/>
    <w:rsid w:val="00214804"/>
    <w:rsid w:val="00214906"/>
    <w:rsid w:val="00216876"/>
    <w:rsid w:val="00216998"/>
    <w:rsid w:val="002171B2"/>
    <w:rsid w:val="002202EE"/>
    <w:rsid w:val="00220815"/>
    <w:rsid w:val="002219AC"/>
    <w:rsid w:val="0022251E"/>
    <w:rsid w:val="00223FCA"/>
    <w:rsid w:val="00224AAB"/>
    <w:rsid w:val="00225884"/>
    <w:rsid w:val="0022606D"/>
    <w:rsid w:val="0022639B"/>
    <w:rsid w:val="002264D3"/>
    <w:rsid w:val="002277C7"/>
    <w:rsid w:val="00227BE3"/>
    <w:rsid w:val="00230FE8"/>
    <w:rsid w:val="00231728"/>
    <w:rsid w:val="0023250F"/>
    <w:rsid w:val="002334A8"/>
    <w:rsid w:val="002346A7"/>
    <w:rsid w:val="00234C99"/>
    <w:rsid w:val="0023661D"/>
    <w:rsid w:val="00236AD8"/>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53DD"/>
    <w:rsid w:val="00266AF5"/>
    <w:rsid w:val="00266D49"/>
    <w:rsid w:val="002675D3"/>
    <w:rsid w:val="002709D8"/>
    <w:rsid w:val="00270A2B"/>
    <w:rsid w:val="00271D08"/>
    <w:rsid w:val="00272D5F"/>
    <w:rsid w:val="002747EC"/>
    <w:rsid w:val="002752E1"/>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265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4F4D"/>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3D77"/>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2FAC"/>
    <w:rsid w:val="00363517"/>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073E"/>
    <w:rsid w:val="00381708"/>
    <w:rsid w:val="003824C2"/>
    <w:rsid w:val="00382C4D"/>
    <w:rsid w:val="00383096"/>
    <w:rsid w:val="00384561"/>
    <w:rsid w:val="0038467F"/>
    <w:rsid w:val="00385E77"/>
    <w:rsid w:val="00387011"/>
    <w:rsid w:val="0038701E"/>
    <w:rsid w:val="0038794C"/>
    <w:rsid w:val="00387B0B"/>
    <w:rsid w:val="00390D6B"/>
    <w:rsid w:val="0039270D"/>
    <w:rsid w:val="0039346C"/>
    <w:rsid w:val="00395772"/>
    <w:rsid w:val="0039670E"/>
    <w:rsid w:val="003972FF"/>
    <w:rsid w:val="00397C21"/>
    <w:rsid w:val="003A133F"/>
    <w:rsid w:val="003A229C"/>
    <w:rsid w:val="003A3DB5"/>
    <w:rsid w:val="003A41EF"/>
    <w:rsid w:val="003A527F"/>
    <w:rsid w:val="003A565C"/>
    <w:rsid w:val="003B0AED"/>
    <w:rsid w:val="003B2EAB"/>
    <w:rsid w:val="003B3EE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24F"/>
    <w:rsid w:val="003D4B16"/>
    <w:rsid w:val="003D5678"/>
    <w:rsid w:val="003E01A2"/>
    <w:rsid w:val="003E06FD"/>
    <w:rsid w:val="003E136B"/>
    <w:rsid w:val="003E16BE"/>
    <w:rsid w:val="003E17A4"/>
    <w:rsid w:val="003E4022"/>
    <w:rsid w:val="003E5877"/>
    <w:rsid w:val="003E676B"/>
    <w:rsid w:val="003F11FC"/>
    <w:rsid w:val="003F209E"/>
    <w:rsid w:val="003F2125"/>
    <w:rsid w:val="003F24B6"/>
    <w:rsid w:val="003F2920"/>
    <w:rsid w:val="003F3214"/>
    <w:rsid w:val="003F347B"/>
    <w:rsid w:val="003F4E28"/>
    <w:rsid w:val="003F7CC9"/>
    <w:rsid w:val="004006E8"/>
    <w:rsid w:val="00401855"/>
    <w:rsid w:val="0040228D"/>
    <w:rsid w:val="0040702D"/>
    <w:rsid w:val="00412A30"/>
    <w:rsid w:val="0041304C"/>
    <w:rsid w:val="00413F2F"/>
    <w:rsid w:val="00414017"/>
    <w:rsid w:val="004141BB"/>
    <w:rsid w:val="0041434A"/>
    <w:rsid w:val="0041724C"/>
    <w:rsid w:val="004174EF"/>
    <w:rsid w:val="00417846"/>
    <w:rsid w:val="004202DC"/>
    <w:rsid w:val="004202E2"/>
    <w:rsid w:val="00421DF5"/>
    <w:rsid w:val="0042280C"/>
    <w:rsid w:val="00427D3B"/>
    <w:rsid w:val="00431669"/>
    <w:rsid w:val="004322B3"/>
    <w:rsid w:val="00432BC9"/>
    <w:rsid w:val="00432BE2"/>
    <w:rsid w:val="00432F4A"/>
    <w:rsid w:val="00434761"/>
    <w:rsid w:val="004353A2"/>
    <w:rsid w:val="00441FD9"/>
    <w:rsid w:val="004433CF"/>
    <w:rsid w:val="004438DD"/>
    <w:rsid w:val="0044406B"/>
    <w:rsid w:val="0044738E"/>
    <w:rsid w:val="004511CD"/>
    <w:rsid w:val="00451527"/>
    <w:rsid w:val="00451660"/>
    <w:rsid w:val="00452280"/>
    <w:rsid w:val="0045490C"/>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2F8B"/>
    <w:rsid w:val="00483ED3"/>
    <w:rsid w:val="00487060"/>
    <w:rsid w:val="004901A6"/>
    <w:rsid w:val="00490325"/>
    <w:rsid w:val="00490B45"/>
    <w:rsid w:val="00490C92"/>
    <w:rsid w:val="0049322D"/>
    <w:rsid w:val="004937F8"/>
    <w:rsid w:val="00493A0E"/>
    <w:rsid w:val="004977B3"/>
    <w:rsid w:val="004A10EE"/>
    <w:rsid w:val="004A1F7B"/>
    <w:rsid w:val="004A3412"/>
    <w:rsid w:val="004A34B4"/>
    <w:rsid w:val="004A34E6"/>
    <w:rsid w:val="004A40FB"/>
    <w:rsid w:val="004A512A"/>
    <w:rsid w:val="004B1812"/>
    <w:rsid w:val="004B18E1"/>
    <w:rsid w:val="004B2692"/>
    <w:rsid w:val="004B32EB"/>
    <w:rsid w:val="004B3380"/>
    <w:rsid w:val="004B64B4"/>
    <w:rsid w:val="004B7727"/>
    <w:rsid w:val="004B77BE"/>
    <w:rsid w:val="004B7BCF"/>
    <w:rsid w:val="004C08A6"/>
    <w:rsid w:val="004C0C6E"/>
    <w:rsid w:val="004C14B0"/>
    <w:rsid w:val="004C25E8"/>
    <w:rsid w:val="004C3937"/>
    <w:rsid w:val="004C3DCD"/>
    <w:rsid w:val="004C44D2"/>
    <w:rsid w:val="004C5BBC"/>
    <w:rsid w:val="004C6780"/>
    <w:rsid w:val="004C6EF6"/>
    <w:rsid w:val="004D12EF"/>
    <w:rsid w:val="004D3578"/>
    <w:rsid w:val="004D380D"/>
    <w:rsid w:val="004D4335"/>
    <w:rsid w:val="004D51FE"/>
    <w:rsid w:val="004D6C16"/>
    <w:rsid w:val="004D6FD4"/>
    <w:rsid w:val="004D7B60"/>
    <w:rsid w:val="004E213A"/>
    <w:rsid w:val="004E22ED"/>
    <w:rsid w:val="004E236C"/>
    <w:rsid w:val="004E26DF"/>
    <w:rsid w:val="004E4988"/>
    <w:rsid w:val="004E4C70"/>
    <w:rsid w:val="004E4E09"/>
    <w:rsid w:val="004E6D2F"/>
    <w:rsid w:val="004E7672"/>
    <w:rsid w:val="004F10E9"/>
    <w:rsid w:val="004F15BF"/>
    <w:rsid w:val="004F186F"/>
    <w:rsid w:val="004F1E7F"/>
    <w:rsid w:val="004F358C"/>
    <w:rsid w:val="004F3ADA"/>
    <w:rsid w:val="004F4540"/>
    <w:rsid w:val="004F73A7"/>
    <w:rsid w:val="004F7C51"/>
    <w:rsid w:val="004F7EB5"/>
    <w:rsid w:val="005001BB"/>
    <w:rsid w:val="00500BE0"/>
    <w:rsid w:val="005013F5"/>
    <w:rsid w:val="00501D49"/>
    <w:rsid w:val="00503171"/>
    <w:rsid w:val="00503CB5"/>
    <w:rsid w:val="00506C28"/>
    <w:rsid w:val="00506E96"/>
    <w:rsid w:val="005075B6"/>
    <w:rsid w:val="00507659"/>
    <w:rsid w:val="00510272"/>
    <w:rsid w:val="00511859"/>
    <w:rsid w:val="00512FDF"/>
    <w:rsid w:val="005134A6"/>
    <w:rsid w:val="00513CB8"/>
    <w:rsid w:val="005154AF"/>
    <w:rsid w:val="00515659"/>
    <w:rsid w:val="005169B6"/>
    <w:rsid w:val="00516A0D"/>
    <w:rsid w:val="00517FC1"/>
    <w:rsid w:val="005214BC"/>
    <w:rsid w:val="005236B8"/>
    <w:rsid w:val="00524A37"/>
    <w:rsid w:val="00525FEC"/>
    <w:rsid w:val="00527C31"/>
    <w:rsid w:val="00527F2A"/>
    <w:rsid w:val="005302A8"/>
    <w:rsid w:val="00531A61"/>
    <w:rsid w:val="00531FAA"/>
    <w:rsid w:val="00534672"/>
    <w:rsid w:val="00534DA0"/>
    <w:rsid w:val="00535EC5"/>
    <w:rsid w:val="00535EFB"/>
    <w:rsid w:val="00536A0E"/>
    <w:rsid w:val="00537568"/>
    <w:rsid w:val="00542000"/>
    <w:rsid w:val="005438E7"/>
    <w:rsid w:val="00543E6C"/>
    <w:rsid w:val="00545A98"/>
    <w:rsid w:val="0054761B"/>
    <w:rsid w:val="00547A10"/>
    <w:rsid w:val="00547C85"/>
    <w:rsid w:val="0055000F"/>
    <w:rsid w:val="00551763"/>
    <w:rsid w:val="005525D5"/>
    <w:rsid w:val="0055422F"/>
    <w:rsid w:val="005545EE"/>
    <w:rsid w:val="00555852"/>
    <w:rsid w:val="00557338"/>
    <w:rsid w:val="00560F61"/>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220C"/>
    <w:rsid w:val="00583007"/>
    <w:rsid w:val="00584044"/>
    <w:rsid w:val="0058460B"/>
    <w:rsid w:val="00591E74"/>
    <w:rsid w:val="0059328F"/>
    <w:rsid w:val="00594B6F"/>
    <w:rsid w:val="00595AAB"/>
    <w:rsid w:val="00596097"/>
    <w:rsid w:val="00596B5D"/>
    <w:rsid w:val="0059778B"/>
    <w:rsid w:val="005A1474"/>
    <w:rsid w:val="005A1953"/>
    <w:rsid w:val="005A4665"/>
    <w:rsid w:val="005A49C6"/>
    <w:rsid w:val="005A4D6D"/>
    <w:rsid w:val="005A68D5"/>
    <w:rsid w:val="005A6CA2"/>
    <w:rsid w:val="005B598B"/>
    <w:rsid w:val="005C007C"/>
    <w:rsid w:val="005C0359"/>
    <w:rsid w:val="005C1A18"/>
    <w:rsid w:val="005C2F10"/>
    <w:rsid w:val="005C3590"/>
    <w:rsid w:val="005C3821"/>
    <w:rsid w:val="005C4665"/>
    <w:rsid w:val="005C4726"/>
    <w:rsid w:val="005C64F2"/>
    <w:rsid w:val="005C76A8"/>
    <w:rsid w:val="005C78A8"/>
    <w:rsid w:val="005D1091"/>
    <w:rsid w:val="005D2171"/>
    <w:rsid w:val="005D2C61"/>
    <w:rsid w:val="005D2ED5"/>
    <w:rsid w:val="005D3AC8"/>
    <w:rsid w:val="005D4207"/>
    <w:rsid w:val="005D6E49"/>
    <w:rsid w:val="005D725F"/>
    <w:rsid w:val="005D7E70"/>
    <w:rsid w:val="005E28FB"/>
    <w:rsid w:val="005F0D6D"/>
    <w:rsid w:val="005F2403"/>
    <w:rsid w:val="005F2F16"/>
    <w:rsid w:val="005F3013"/>
    <w:rsid w:val="005F7B0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34B3"/>
    <w:rsid w:val="006148EC"/>
    <w:rsid w:val="006150D4"/>
    <w:rsid w:val="006160D7"/>
    <w:rsid w:val="00617636"/>
    <w:rsid w:val="00617C43"/>
    <w:rsid w:val="0062139B"/>
    <w:rsid w:val="00622FDA"/>
    <w:rsid w:val="00624813"/>
    <w:rsid w:val="00624C07"/>
    <w:rsid w:val="0062582C"/>
    <w:rsid w:val="00625B0A"/>
    <w:rsid w:val="00626684"/>
    <w:rsid w:val="00630079"/>
    <w:rsid w:val="00632396"/>
    <w:rsid w:val="006326D4"/>
    <w:rsid w:val="00635845"/>
    <w:rsid w:val="006366DF"/>
    <w:rsid w:val="00640307"/>
    <w:rsid w:val="006416D5"/>
    <w:rsid w:val="00643067"/>
    <w:rsid w:val="00643340"/>
    <w:rsid w:val="00644149"/>
    <w:rsid w:val="00646509"/>
    <w:rsid w:val="00646D99"/>
    <w:rsid w:val="00647945"/>
    <w:rsid w:val="006479C4"/>
    <w:rsid w:val="006504D6"/>
    <w:rsid w:val="00650567"/>
    <w:rsid w:val="006510E9"/>
    <w:rsid w:val="00652B9E"/>
    <w:rsid w:val="00653358"/>
    <w:rsid w:val="0065352E"/>
    <w:rsid w:val="006541A1"/>
    <w:rsid w:val="00654596"/>
    <w:rsid w:val="00654F4E"/>
    <w:rsid w:val="006551BB"/>
    <w:rsid w:val="00655298"/>
    <w:rsid w:val="00655D1E"/>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A18"/>
    <w:rsid w:val="00677F5B"/>
    <w:rsid w:val="006810DA"/>
    <w:rsid w:val="0068158F"/>
    <w:rsid w:val="00682727"/>
    <w:rsid w:val="00682BA2"/>
    <w:rsid w:val="00682BF2"/>
    <w:rsid w:val="00684C62"/>
    <w:rsid w:val="006854C3"/>
    <w:rsid w:val="00690ED2"/>
    <w:rsid w:val="00694F59"/>
    <w:rsid w:val="00695261"/>
    <w:rsid w:val="00696821"/>
    <w:rsid w:val="00696E91"/>
    <w:rsid w:val="006A03A3"/>
    <w:rsid w:val="006A19A8"/>
    <w:rsid w:val="006A1A2B"/>
    <w:rsid w:val="006A242E"/>
    <w:rsid w:val="006A26F7"/>
    <w:rsid w:val="006A416F"/>
    <w:rsid w:val="006A45A9"/>
    <w:rsid w:val="006A4A4B"/>
    <w:rsid w:val="006A6B7B"/>
    <w:rsid w:val="006B161F"/>
    <w:rsid w:val="006B200A"/>
    <w:rsid w:val="006B2C4A"/>
    <w:rsid w:val="006B44AF"/>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3140"/>
    <w:rsid w:val="006D35DE"/>
    <w:rsid w:val="006D3AF4"/>
    <w:rsid w:val="006D3CBB"/>
    <w:rsid w:val="006D3FE1"/>
    <w:rsid w:val="006D4D6F"/>
    <w:rsid w:val="006D50FB"/>
    <w:rsid w:val="006D530C"/>
    <w:rsid w:val="006D554E"/>
    <w:rsid w:val="006D5958"/>
    <w:rsid w:val="006E0403"/>
    <w:rsid w:val="006E1057"/>
    <w:rsid w:val="006E1159"/>
    <w:rsid w:val="006E1417"/>
    <w:rsid w:val="006E19AF"/>
    <w:rsid w:val="006E401D"/>
    <w:rsid w:val="006E4AE6"/>
    <w:rsid w:val="006F4552"/>
    <w:rsid w:val="006F4C4E"/>
    <w:rsid w:val="006F69EC"/>
    <w:rsid w:val="006F6A2C"/>
    <w:rsid w:val="00701313"/>
    <w:rsid w:val="00701323"/>
    <w:rsid w:val="00703469"/>
    <w:rsid w:val="00705BC0"/>
    <w:rsid w:val="007069DC"/>
    <w:rsid w:val="00707BD0"/>
    <w:rsid w:val="00710201"/>
    <w:rsid w:val="007102CD"/>
    <w:rsid w:val="0071056C"/>
    <w:rsid w:val="00710D4C"/>
    <w:rsid w:val="0071194B"/>
    <w:rsid w:val="007129D3"/>
    <w:rsid w:val="00713E60"/>
    <w:rsid w:val="00717AA9"/>
    <w:rsid w:val="0072023D"/>
    <w:rsid w:val="0072073A"/>
    <w:rsid w:val="007217A0"/>
    <w:rsid w:val="00721D97"/>
    <w:rsid w:val="00722548"/>
    <w:rsid w:val="00723211"/>
    <w:rsid w:val="00723B0B"/>
    <w:rsid w:val="00724DB3"/>
    <w:rsid w:val="00724F42"/>
    <w:rsid w:val="00725404"/>
    <w:rsid w:val="00725C33"/>
    <w:rsid w:val="007304B2"/>
    <w:rsid w:val="00730BF0"/>
    <w:rsid w:val="0073133A"/>
    <w:rsid w:val="00732B74"/>
    <w:rsid w:val="007342B5"/>
    <w:rsid w:val="0073449A"/>
    <w:rsid w:val="00734A5B"/>
    <w:rsid w:val="0073620F"/>
    <w:rsid w:val="00737B6B"/>
    <w:rsid w:val="00740C0A"/>
    <w:rsid w:val="00741328"/>
    <w:rsid w:val="007419DA"/>
    <w:rsid w:val="00742288"/>
    <w:rsid w:val="00742482"/>
    <w:rsid w:val="007447A4"/>
    <w:rsid w:val="00744E76"/>
    <w:rsid w:val="00745AC8"/>
    <w:rsid w:val="007469FD"/>
    <w:rsid w:val="00746A9C"/>
    <w:rsid w:val="007522E2"/>
    <w:rsid w:val="00752676"/>
    <w:rsid w:val="0075287B"/>
    <w:rsid w:val="00753B28"/>
    <w:rsid w:val="00754EB6"/>
    <w:rsid w:val="00755DB4"/>
    <w:rsid w:val="00756E85"/>
    <w:rsid w:val="00757D40"/>
    <w:rsid w:val="00761926"/>
    <w:rsid w:val="0076307D"/>
    <w:rsid w:val="0076607C"/>
    <w:rsid w:val="007662B5"/>
    <w:rsid w:val="00770C5E"/>
    <w:rsid w:val="0077370C"/>
    <w:rsid w:val="0077466B"/>
    <w:rsid w:val="00774940"/>
    <w:rsid w:val="0077751F"/>
    <w:rsid w:val="007776AE"/>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638"/>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5F6"/>
    <w:rsid w:val="007D4F8A"/>
    <w:rsid w:val="007D4FB2"/>
    <w:rsid w:val="007D5ACC"/>
    <w:rsid w:val="007E1392"/>
    <w:rsid w:val="007E26E9"/>
    <w:rsid w:val="007E2EF9"/>
    <w:rsid w:val="007E34F3"/>
    <w:rsid w:val="007E43E4"/>
    <w:rsid w:val="007E52B6"/>
    <w:rsid w:val="007E648C"/>
    <w:rsid w:val="007F03B5"/>
    <w:rsid w:val="007F09F2"/>
    <w:rsid w:val="007F2D37"/>
    <w:rsid w:val="007F2E08"/>
    <w:rsid w:val="007F4297"/>
    <w:rsid w:val="007F7AA7"/>
    <w:rsid w:val="007F7EC4"/>
    <w:rsid w:val="00800199"/>
    <w:rsid w:val="0080051E"/>
    <w:rsid w:val="00800B57"/>
    <w:rsid w:val="00802045"/>
    <w:rsid w:val="008028A4"/>
    <w:rsid w:val="00803406"/>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024"/>
    <w:rsid w:val="0084067A"/>
    <w:rsid w:val="00840DE0"/>
    <w:rsid w:val="00842FBC"/>
    <w:rsid w:val="00844CDD"/>
    <w:rsid w:val="00845D11"/>
    <w:rsid w:val="00847C73"/>
    <w:rsid w:val="0085098A"/>
    <w:rsid w:val="00850C3E"/>
    <w:rsid w:val="00851443"/>
    <w:rsid w:val="008515D4"/>
    <w:rsid w:val="008554CE"/>
    <w:rsid w:val="00856568"/>
    <w:rsid w:val="008577BD"/>
    <w:rsid w:val="00860623"/>
    <w:rsid w:val="008607A8"/>
    <w:rsid w:val="00861551"/>
    <w:rsid w:val="00861FEE"/>
    <w:rsid w:val="00862027"/>
    <w:rsid w:val="0086354A"/>
    <w:rsid w:val="00865EDE"/>
    <w:rsid w:val="00866A0C"/>
    <w:rsid w:val="00870576"/>
    <w:rsid w:val="0087245D"/>
    <w:rsid w:val="008732D6"/>
    <w:rsid w:val="00875EB1"/>
    <w:rsid w:val="008766A6"/>
    <w:rsid w:val="008768CA"/>
    <w:rsid w:val="00877BE7"/>
    <w:rsid w:val="00877BFB"/>
    <w:rsid w:val="00877EF9"/>
    <w:rsid w:val="00880559"/>
    <w:rsid w:val="00880811"/>
    <w:rsid w:val="00881245"/>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A7B33"/>
    <w:rsid w:val="008B3C42"/>
    <w:rsid w:val="008B5306"/>
    <w:rsid w:val="008B63C9"/>
    <w:rsid w:val="008B74AF"/>
    <w:rsid w:val="008C1F69"/>
    <w:rsid w:val="008C218F"/>
    <w:rsid w:val="008C285A"/>
    <w:rsid w:val="008C2E2A"/>
    <w:rsid w:val="008C2EBA"/>
    <w:rsid w:val="008C3057"/>
    <w:rsid w:val="008C3B37"/>
    <w:rsid w:val="008C3BA0"/>
    <w:rsid w:val="008C4BF8"/>
    <w:rsid w:val="008C4E29"/>
    <w:rsid w:val="008C55C1"/>
    <w:rsid w:val="008C7C67"/>
    <w:rsid w:val="008D19D1"/>
    <w:rsid w:val="008D2580"/>
    <w:rsid w:val="008D2E4D"/>
    <w:rsid w:val="008D3BA5"/>
    <w:rsid w:val="008D49D8"/>
    <w:rsid w:val="008D61D6"/>
    <w:rsid w:val="008D6817"/>
    <w:rsid w:val="008E0988"/>
    <w:rsid w:val="008E198F"/>
    <w:rsid w:val="008E1D3C"/>
    <w:rsid w:val="008E24FF"/>
    <w:rsid w:val="008E261E"/>
    <w:rsid w:val="008E4AF8"/>
    <w:rsid w:val="008E5060"/>
    <w:rsid w:val="008E799C"/>
    <w:rsid w:val="008F396F"/>
    <w:rsid w:val="008F3DCD"/>
    <w:rsid w:val="008F4321"/>
    <w:rsid w:val="008F6945"/>
    <w:rsid w:val="008F74D4"/>
    <w:rsid w:val="0090129C"/>
    <w:rsid w:val="00901704"/>
    <w:rsid w:val="00901D5C"/>
    <w:rsid w:val="00902165"/>
    <w:rsid w:val="0090271F"/>
    <w:rsid w:val="009027DA"/>
    <w:rsid w:val="00902DB9"/>
    <w:rsid w:val="00903709"/>
    <w:rsid w:val="0090466A"/>
    <w:rsid w:val="00905482"/>
    <w:rsid w:val="00907FE0"/>
    <w:rsid w:val="0091035F"/>
    <w:rsid w:val="009106C2"/>
    <w:rsid w:val="009139F6"/>
    <w:rsid w:val="0091471D"/>
    <w:rsid w:val="00915DB3"/>
    <w:rsid w:val="0092120B"/>
    <w:rsid w:val="00921E6D"/>
    <w:rsid w:val="0092209D"/>
    <w:rsid w:val="00923655"/>
    <w:rsid w:val="00923C5B"/>
    <w:rsid w:val="0092601D"/>
    <w:rsid w:val="0092610E"/>
    <w:rsid w:val="00927E18"/>
    <w:rsid w:val="00931699"/>
    <w:rsid w:val="009322D7"/>
    <w:rsid w:val="0093304B"/>
    <w:rsid w:val="009340CF"/>
    <w:rsid w:val="00934224"/>
    <w:rsid w:val="00936071"/>
    <w:rsid w:val="00936F38"/>
    <w:rsid w:val="009376AF"/>
    <w:rsid w:val="009376CD"/>
    <w:rsid w:val="00940212"/>
    <w:rsid w:val="009428FC"/>
    <w:rsid w:val="00942EC2"/>
    <w:rsid w:val="00944EC6"/>
    <w:rsid w:val="0094577F"/>
    <w:rsid w:val="0094587C"/>
    <w:rsid w:val="00945B9B"/>
    <w:rsid w:val="009467E5"/>
    <w:rsid w:val="009504CA"/>
    <w:rsid w:val="009505D8"/>
    <w:rsid w:val="009508D2"/>
    <w:rsid w:val="00950B99"/>
    <w:rsid w:val="00952941"/>
    <w:rsid w:val="00952D55"/>
    <w:rsid w:val="0095343C"/>
    <w:rsid w:val="00953A6C"/>
    <w:rsid w:val="00955E64"/>
    <w:rsid w:val="00955FB6"/>
    <w:rsid w:val="0095778B"/>
    <w:rsid w:val="009607A6"/>
    <w:rsid w:val="009607B9"/>
    <w:rsid w:val="00961B32"/>
    <w:rsid w:val="00962455"/>
    <w:rsid w:val="00962509"/>
    <w:rsid w:val="00965E6D"/>
    <w:rsid w:val="00970666"/>
    <w:rsid w:val="00970DB3"/>
    <w:rsid w:val="00971A5C"/>
    <w:rsid w:val="0097280A"/>
    <w:rsid w:val="00972FBD"/>
    <w:rsid w:val="00973D04"/>
    <w:rsid w:val="00974BB0"/>
    <w:rsid w:val="00974CF6"/>
    <w:rsid w:val="00975327"/>
    <w:rsid w:val="00975942"/>
    <w:rsid w:val="00975BCD"/>
    <w:rsid w:val="00975FF0"/>
    <w:rsid w:val="0097603C"/>
    <w:rsid w:val="00976735"/>
    <w:rsid w:val="00976D37"/>
    <w:rsid w:val="00977122"/>
    <w:rsid w:val="00977609"/>
    <w:rsid w:val="00977EAC"/>
    <w:rsid w:val="00980130"/>
    <w:rsid w:val="00981274"/>
    <w:rsid w:val="0098239B"/>
    <w:rsid w:val="00982DAE"/>
    <w:rsid w:val="00983FFE"/>
    <w:rsid w:val="009840D1"/>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6C3"/>
    <w:rsid w:val="009A5858"/>
    <w:rsid w:val="009A5DBC"/>
    <w:rsid w:val="009A642A"/>
    <w:rsid w:val="009B0786"/>
    <w:rsid w:val="009B07CD"/>
    <w:rsid w:val="009B13FA"/>
    <w:rsid w:val="009B26F6"/>
    <w:rsid w:val="009B3827"/>
    <w:rsid w:val="009B647D"/>
    <w:rsid w:val="009B7B06"/>
    <w:rsid w:val="009C19E9"/>
    <w:rsid w:val="009C59FB"/>
    <w:rsid w:val="009D3A31"/>
    <w:rsid w:val="009D3B87"/>
    <w:rsid w:val="009D5198"/>
    <w:rsid w:val="009D5A5D"/>
    <w:rsid w:val="009D7467"/>
    <w:rsid w:val="009D74A6"/>
    <w:rsid w:val="009E0B98"/>
    <w:rsid w:val="009E0E87"/>
    <w:rsid w:val="009E10EF"/>
    <w:rsid w:val="009E2DC5"/>
    <w:rsid w:val="009E2F4E"/>
    <w:rsid w:val="009E5449"/>
    <w:rsid w:val="009E55AC"/>
    <w:rsid w:val="009E709B"/>
    <w:rsid w:val="009E7E69"/>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3F58"/>
    <w:rsid w:val="00A247E3"/>
    <w:rsid w:val="00A24E68"/>
    <w:rsid w:val="00A255A1"/>
    <w:rsid w:val="00A27DC6"/>
    <w:rsid w:val="00A3023F"/>
    <w:rsid w:val="00A31A0A"/>
    <w:rsid w:val="00A31B24"/>
    <w:rsid w:val="00A33876"/>
    <w:rsid w:val="00A33D77"/>
    <w:rsid w:val="00A33FE1"/>
    <w:rsid w:val="00A34C56"/>
    <w:rsid w:val="00A3675E"/>
    <w:rsid w:val="00A409FF"/>
    <w:rsid w:val="00A41829"/>
    <w:rsid w:val="00A419FA"/>
    <w:rsid w:val="00A430EC"/>
    <w:rsid w:val="00A4371D"/>
    <w:rsid w:val="00A44335"/>
    <w:rsid w:val="00A448B3"/>
    <w:rsid w:val="00A4645A"/>
    <w:rsid w:val="00A466D4"/>
    <w:rsid w:val="00A47F02"/>
    <w:rsid w:val="00A50928"/>
    <w:rsid w:val="00A53724"/>
    <w:rsid w:val="00A54B2B"/>
    <w:rsid w:val="00A607F6"/>
    <w:rsid w:val="00A60806"/>
    <w:rsid w:val="00A6319E"/>
    <w:rsid w:val="00A64AFF"/>
    <w:rsid w:val="00A657D6"/>
    <w:rsid w:val="00A664C3"/>
    <w:rsid w:val="00A67DC4"/>
    <w:rsid w:val="00A70838"/>
    <w:rsid w:val="00A70AB0"/>
    <w:rsid w:val="00A72629"/>
    <w:rsid w:val="00A7298F"/>
    <w:rsid w:val="00A737AB"/>
    <w:rsid w:val="00A74375"/>
    <w:rsid w:val="00A745A3"/>
    <w:rsid w:val="00A74732"/>
    <w:rsid w:val="00A75A4F"/>
    <w:rsid w:val="00A76932"/>
    <w:rsid w:val="00A82346"/>
    <w:rsid w:val="00A82C04"/>
    <w:rsid w:val="00A84571"/>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B7C3E"/>
    <w:rsid w:val="00AC3B00"/>
    <w:rsid w:val="00AC4D2C"/>
    <w:rsid w:val="00AC507F"/>
    <w:rsid w:val="00AC5D59"/>
    <w:rsid w:val="00AC6006"/>
    <w:rsid w:val="00AC6887"/>
    <w:rsid w:val="00AD01B5"/>
    <w:rsid w:val="00AD3082"/>
    <w:rsid w:val="00AD7853"/>
    <w:rsid w:val="00AE5D2D"/>
    <w:rsid w:val="00AF1733"/>
    <w:rsid w:val="00AF1776"/>
    <w:rsid w:val="00AF2D0B"/>
    <w:rsid w:val="00AF371E"/>
    <w:rsid w:val="00AF4DB9"/>
    <w:rsid w:val="00AF5CA0"/>
    <w:rsid w:val="00AF649F"/>
    <w:rsid w:val="00AF7C5F"/>
    <w:rsid w:val="00B02CF8"/>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0B82"/>
    <w:rsid w:val="00B22FF3"/>
    <w:rsid w:val="00B25D3B"/>
    <w:rsid w:val="00B25FC6"/>
    <w:rsid w:val="00B2602A"/>
    <w:rsid w:val="00B261CD"/>
    <w:rsid w:val="00B27303"/>
    <w:rsid w:val="00B30797"/>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57460"/>
    <w:rsid w:val="00B606E6"/>
    <w:rsid w:val="00B60D60"/>
    <w:rsid w:val="00B626F4"/>
    <w:rsid w:val="00B65060"/>
    <w:rsid w:val="00B657DE"/>
    <w:rsid w:val="00B65AA8"/>
    <w:rsid w:val="00B663D2"/>
    <w:rsid w:val="00B6672E"/>
    <w:rsid w:val="00B66E42"/>
    <w:rsid w:val="00B710DA"/>
    <w:rsid w:val="00B726D8"/>
    <w:rsid w:val="00B72962"/>
    <w:rsid w:val="00B73674"/>
    <w:rsid w:val="00B7538C"/>
    <w:rsid w:val="00B76953"/>
    <w:rsid w:val="00B772E6"/>
    <w:rsid w:val="00B8075F"/>
    <w:rsid w:val="00B8369D"/>
    <w:rsid w:val="00B84B49"/>
    <w:rsid w:val="00B84DB2"/>
    <w:rsid w:val="00B873FD"/>
    <w:rsid w:val="00B911F1"/>
    <w:rsid w:val="00B965D1"/>
    <w:rsid w:val="00BA07B7"/>
    <w:rsid w:val="00BA18CB"/>
    <w:rsid w:val="00BA1A49"/>
    <w:rsid w:val="00BA2421"/>
    <w:rsid w:val="00BA2793"/>
    <w:rsid w:val="00BA4FA6"/>
    <w:rsid w:val="00BA55D1"/>
    <w:rsid w:val="00BA56A5"/>
    <w:rsid w:val="00BA56AC"/>
    <w:rsid w:val="00BA5FDB"/>
    <w:rsid w:val="00BB0AC8"/>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3D0E"/>
    <w:rsid w:val="00BF409E"/>
    <w:rsid w:val="00BF4333"/>
    <w:rsid w:val="00BF4969"/>
    <w:rsid w:val="00BF5922"/>
    <w:rsid w:val="00BF60D5"/>
    <w:rsid w:val="00C00351"/>
    <w:rsid w:val="00C00512"/>
    <w:rsid w:val="00C0146E"/>
    <w:rsid w:val="00C04A27"/>
    <w:rsid w:val="00C05F4A"/>
    <w:rsid w:val="00C060FE"/>
    <w:rsid w:val="00C11561"/>
    <w:rsid w:val="00C12B51"/>
    <w:rsid w:val="00C1371B"/>
    <w:rsid w:val="00C14248"/>
    <w:rsid w:val="00C14510"/>
    <w:rsid w:val="00C1493D"/>
    <w:rsid w:val="00C151D4"/>
    <w:rsid w:val="00C152B1"/>
    <w:rsid w:val="00C1670C"/>
    <w:rsid w:val="00C17021"/>
    <w:rsid w:val="00C21AA8"/>
    <w:rsid w:val="00C22D65"/>
    <w:rsid w:val="00C23F90"/>
    <w:rsid w:val="00C243E1"/>
    <w:rsid w:val="00C24650"/>
    <w:rsid w:val="00C25465"/>
    <w:rsid w:val="00C25AEA"/>
    <w:rsid w:val="00C27E95"/>
    <w:rsid w:val="00C30859"/>
    <w:rsid w:val="00C31B5A"/>
    <w:rsid w:val="00C32649"/>
    <w:rsid w:val="00C33079"/>
    <w:rsid w:val="00C339E9"/>
    <w:rsid w:val="00C34F33"/>
    <w:rsid w:val="00C35647"/>
    <w:rsid w:val="00C36433"/>
    <w:rsid w:val="00C368CB"/>
    <w:rsid w:val="00C3706C"/>
    <w:rsid w:val="00C37298"/>
    <w:rsid w:val="00C424AD"/>
    <w:rsid w:val="00C44D4E"/>
    <w:rsid w:val="00C45037"/>
    <w:rsid w:val="00C4567F"/>
    <w:rsid w:val="00C460F5"/>
    <w:rsid w:val="00C46E04"/>
    <w:rsid w:val="00C4721A"/>
    <w:rsid w:val="00C472C2"/>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286"/>
    <w:rsid w:val="00C65245"/>
    <w:rsid w:val="00C6553E"/>
    <w:rsid w:val="00C66523"/>
    <w:rsid w:val="00C66D96"/>
    <w:rsid w:val="00C702D5"/>
    <w:rsid w:val="00C70DC4"/>
    <w:rsid w:val="00C717FC"/>
    <w:rsid w:val="00C738E0"/>
    <w:rsid w:val="00C74E92"/>
    <w:rsid w:val="00C760D4"/>
    <w:rsid w:val="00C76A1A"/>
    <w:rsid w:val="00C76B6B"/>
    <w:rsid w:val="00C779A7"/>
    <w:rsid w:val="00C81DF7"/>
    <w:rsid w:val="00C824CE"/>
    <w:rsid w:val="00C83895"/>
    <w:rsid w:val="00C83A13"/>
    <w:rsid w:val="00C844F8"/>
    <w:rsid w:val="00C859EF"/>
    <w:rsid w:val="00C86F10"/>
    <w:rsid w:val="00C9068C"/>
    <w:rsid w:val="00C91F36"/>
    <w:rsid w:val="00C92831"/>
    <w:rsid w:val="00C92967"/>
    <w:rsid w:val="00C94794"/>
    <w:rsid w:val="00C96D30"/>
    <w:rsid w:val="00CA0FF2"/>
    <w:rsid w:val="00CA358C"/>
    <w:rsid w:val="00CA390E"/>
    <w:rsid w:val="00CA3A49"/>
    <w:rsid w:val="00CA3D0C"/>
    <w:rsid w:val="00CA4156"/>
    <w:rsid w:val="00CA622F"/>
    <w:rsid w:val="00CA654B"/>
    <w:rsid w:val="00CA7092"/>
    <w:rsid w:val="00CB2E21"/>
    <w:rsid w:val="00CB2E76"/>
    <w:rsid w:val="00CB3154"/>
    <w:rsid w:val="00CB40C7"/>
    <w:rsid w:val="00CB4772"/>
    <w:rsid w:val="00CB72B8"/>
    <w:rsid w:val="00CC0591"/>
    <w:rsid w:val="00CC2102"/>
    <w:rsid w:val="00CC3C10"/>
    <w:rsid w:val="00CC3C7A"/>
    <w:rsid w:val="00CC4132"/>
    <w:rsid w:val="00CC4645"/>
    <w:rsid w:val="00CC547F"/>
    <w:rsid w:val="00CC554F"/>
    <w:rsid w:val="00CC56CB"/>
    <w:rsid w:val="00CC70E9"/>
    <w:rsid w:val="00CD0963"/>
    <w:rsid w:val="00CD0BA8"/>
    <w:rsid w:val="00CD14F3"/>
    <w:rsid w:val="00CD29B8"/>
    <w:rsid w:val="00CD4948"/>
    <w:rsid w:val="00CD4C7B"/>
    <w:rsid w:val="00CD4F02"/>
    <w:rsid w:val="00CD58FE"/>
    <w:rsid w:val="00CE08D1"/>
    <w:rsid w:val="00CE1B38"/>
    <w:rsid w:val="00CE31BB"/>
    <w:rsid w:val="00CE3B11"/>
    <w:rsid w:val="00CE43C6"/>
    <w:rsid w:val="00CE547E"/>
    <w:rsid w:val="00CE7B23"/>
    <w:rsid w:val="00CF1441"/>
    <w:rsid w:val="00CF1E1A"/>
    <w:rsid w:val="00CF2423"/>
    <w:rsid w:val="00CF4D95"/>
    <w:rsid w:val="00CF73D9"/>
    <w:rsid w:val="00D00226"/>
    <w:rsid w:val="00D011CA"/>
    <w:rsid w:val="00D019F7"/>
    <w:rsid w:val="00D01A1A"/>
    <w:rsid w:val="00D020FC"/>
    <w:rsid w:val="00D038C1"/>
    <w:rsid w:val="00D04671"/>
    <w:rsid w:val="00D054E4"/>
    <w:rsid w:val="00D06125"/>
    <w:rsid w:val="00D06188"/>
    <w:rsid w:val="00D0620C"/>
    <w:rsid w:val="00D12BE0"/>
    <w:rsid w:val="00D12DDB"/>
    <w:rsid w:val="00D141D2"/>
    <w:rsid w:val="00D1769D"/>
    <w:rsid w:val="00D24051"/>
    <w:rsid w:val="00D24C0D"/>
    <w:rsid w:val="00D30635"/>
    <w:rsid w:val="00D30698"/>
    <w:rsid w:val="00D30C9E"/>
    <w:rsid w:val="00D32165"/>
    <w:rsid w:val="00D32F85"/>
    <w:rsid w:val="00D33400"/>
    <w:rsid w:val="00D33BE3"/>
    <w:rsid w:val="00D33CDF"/>
    <w:rsid w:val="00D3498F"/>
    <w:rsid w:val="00D35DEB"/>
    <w:rsid w:val="00D36C63"/>
    <w:rsid w:val="00D3792D"/>
    <w:rsid w:val="00D40A67"/>
    <w:rsid w:val="00D40BB8"/>
    <w:rsid w:val="00D43549"/>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14F3"/>
    <w:rsid w:val="00D62E19"/>
    <w:rsid w:val="00D62E33"/>
    <w:rsid w:val="00D64B1C"/>
    <w:rsid w:val="00D64D90"/>
    <w:rsid w:val="00D6517A"/>
    <w:rsid w:val="00D67CD1"/>
    <w:rsid w:val="00D7022F"/>
    <w:rsid w:val="00D727AF"/>
    <w:rsid w:val="00D727BD"/>
    <w:rsid w:val="00D72C64"/>
    <w:rsid w:val="00D738D6"/>
    <w:rsid w:val="00D7532C"/>
    <w:rsid w:val="00D76809"/>
    <w:rsid w:val="00D7685B"/>
    <w:rsid w:val="00D76D31"/>
    <w:rsid w:val="00D80795"/>
    <w:rsid w:val="00D81114"/>
    <w:rsid w:val="00D843A6"/>
    <w:rsid w:val="00D854BE"/>
    <w:rsid w:val="00D87009"/>
    <w:rsid w:val="00D87E00"/>
    <w:rsid w:val="00D9134D"/>
    <w:rsid w:val="00D92DA4"/>
    <w:rsid w:val="00D93832"/>
    <w:rsid w:val="00D93914"/>
    <w:rsid w:val="00D96BB7"/>
    <w:rsid w:val="00D96D11"/>
    <w:rsid w:val="00DA29BD"/>
    <w:rsid w:val="00DA3414"/>
    <w:rsid w:val="00DA4833"/>
    <w:rsid w:val="00DA58F0"/>
    <w:rsid w:val="00DA6127"/>
    <w:rsid w:val="00DA6432"/>
    <w:rsid w:val="00DA7A03"/>
    <w:rsid w:val="00DA7D83"/>
    <w:rsid w:val="00DB01B2"/>
    <w:rsid w:val="00DB07A5"/>
    <w:rsid w:val="00DB0C97"/>
    <w:rsid w:val="00DB0DB8"/>
    <w:rsid w:val="00DB159F"/>
    <w:rsid w:val="00DB1818"/>
    <w:rsid w:val="00DB1F9F"/>
    <w:rsid w:val="00DB2ABC"/>
    <w:rsid w:val="00DB3918"/>
    <w:rsid w:val="00DB4164"/>
    <w:rsid w:val="00DB74A8"/>
    <w:rsid w:val="00DC309B"/>
    <w:rsid w:val="00DC3ED9"/>
    <w:rsid w:val="00DC44E4"/>
    <w:rsid w:val="00DC4DA2"/>
    <w:rsid w:val="00DC4E86"/>
    <w:rsid w:val="00DC5261"/>
    <w:rsid w:val="00DC5612"/>
    <w:rsid w:val="00DC6A61"/>
    <w:rsid w:val="00DC740C"/>
    <w:rsid w:val="00DC74B1"/>
    <w:rsid w:val="00DC75FA"/>
    <w:rsid w:val="00DC7C2A"/>
    <w:rsid w:val="00DD16AF"/>
    <w:rsid w:val="00DD3480"/>
    <w:rsid w:val="00DD5188"/>
    <w:rsid w:val="00DD64BE"/>
    <w:rsid w:val="00DD6910"/>
    <w:rsid w:val="00DD7FB2"/>
    <w:rsid w:val="00DE001F"/>
    <w:rsid w:val="00DE03D3"/>
    <w:rsid w:val="00DE0B51"/>
    <w:rsid w:val="00DE22A8"/>
    <w:rsid w:val="00DE25D2"/>
    <w:rsid w:val="00DE292B"/>
    <w:rsid w:val="00DE491C"/>
    <w:rsid w:val="00DE4B84"/>
    <w:rsid w:val="00DF0B46"/>
    <w:rsid w:val="00DF218F"/>
    <w:rsid w:val="00DF3CF4"/>
    <w:rsid w:val="00DF4645"/>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7F"/>
    <w:rsid w:val="00E15BD7"/>
    <w:rsid w:val="00E16BF5"/>
    <w:rsid w:val="00E22129"/>
    <w:rsid w:val="00E223EE"/>
    <w:rsid w:val="00E24C00"/>
    <w:rsid w:val="00E253C2"/>
    <w:rsid w:val="00E262F2"/>
    <w:rsid w:val="00E26957"/>
    <w:rsid w:val="00E30853"/>
    <w:rsid w:val="00E31765"/>
    <w:rsid w:val="00E36FCC"/>
    <w:rsid w:val="00E37E4F"/>
    <w:rsid w:val="00E41B53"/>
    <w:rsid w:val="00E41C0F"/>
    <w:rsid w:val="00E41F8E"/>
    <w:rsid w:val="00E45739"/>
    <w:rsid w:val="00E46C08"/>
    <w:rsid w:val="00E471CF"/>
    <w:rsid w:val="00E477E8"/>
    <w:rsid w:val="00E47979"/>
    <w:rsid w:val="00E500BD"/>
    <w:rsid w:val="00E51F1C"/>
    <w:rsid w:val="00E5316E"/>
    <w:rsid w:val="00E5360F"/>
    <w:rsid w:val="00E54A76"/>
    <w:rsid w:val="00E54AAA"/>
    <w:rsid w:val="00E55148"/>
    <w:rsid w:val="00E609A3"/>
    <w:rsid w:val="00E61354"/>
    <w:rsid w:val="00E62835"/>
    <w:rsid w:val="00E62BC9"/>
    <w:rsid w:val="00E64ECF"/>
    <w:rsid w:val="00E65A87"/>
    <w:rsid w:val="00E65D34"/>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509D"/>
    <w:rsid w:val="00E96124"/>
    <w:rsid w:val="00E96CD0"/>
    <w:rsid w:val="00E96F95"/>
    <w:rsid w:val="00E97F72"/>
    <w:rsid w:val="00EA07A9"/>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330"/>
    <w:rsid w:val="00EC5498"/>
    <w:rsid w:val="00EC6C86"/>
    <w:rsid w:val="00EC6F51"/>
    <w:rsid w:val="00EC7DFE"/>
    <w:rsid w:val="00ED0457"/>
    <w:rsid w:val="00ED112E"/>
    <w:rsid w:val="00ED15CB"/>
    <w:rsid w:val="00ED1BAA"/>
    <w:rsid w:val="00ED24E4"/>
    <w:rsid w:val="00ED2519"/>
    <w:rsid w:val="00ED40AC"/>
    <w:rsid w:val="00ED4FE8"/>
    <w:rsid w:val="00ED56E2"/>
    <w:rsid w:val="00ED6022"/>
    <w:rsid w:val="00ED6F9A"/>
    <w:rsid w:val="00ED75F3"/>
    <w:rsid w:val="00EE00AC"/>
    <w:rsid w:val="00EE013E"/>
    <w:rsid w:val="00EE1DEB"/>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511"/>
    <w:rsid w:val="00F209BD"/>
    <w:rsid w:val="00F2210A"/>
    <w:rsid w:val="00F23E2E"/>
    <w:rsid w:val="00F247F6"/>
    <w:rsid w:val="00F25696"/>
    <w:rsid w:val="00F25CE3"/>
    <w:rsid w:val="00F26EB7"/>
    <w:rsid w:val="00F273DC"/>
    <w:rsid w:val="00F275A1"/>
    <w:rsid w:val="00F3039A"/>
    <w:rsid w:val="00F303CC"/>
    <w:rsid w:val="00F30509"/>
    <w:rsid w:val="00F31372"/>
    <w:rsid w:val="00F33ACE"/>
    <w:rsid w:val="00F341BE"/>
    <w:rsid w:val="00F3485F"/>
    <w:rsid w:val="00F34F8C"/>
    <w:rsid w:val="00F35C6C"/>
    <w:rsid w:val="00F36DFC"/>
    <w:rsid w:val="00F37678"/>
    <w:rsid w:val="00F37743"/>
    <w:rsid w:val="00F40A33"/>
    <w:rsid w:val="00F41159"/>
    <w:rsid w:val="00F43661"/>
    <w:rsid w:val="00F4463F"/>
    <w:rsid w:val="00F44DF5"/>
    <w:rsid w:val="00F4579A"/>
    <w:rsid w:val="00F463C0"/>
    <w:rsid w:val="00F46B11"/>
    <w:rsid w:val="00F46BE2"/>
    <w:rsid w:val="00F46F23"/>
    <w:rsid w:val="00F521FD"/>
    <w:rsid w:val="00F52DE9"/>
    <w:rsid w:val="00F53F52"/>
    <w:rsid w:val="00F54A3D"/>
    <w:rsid w:val="00F54CB0"/>
    <w:rsid w:val="00F55286"/>
    <w:rsid w:val="00F571A8"/>
    <w:rsid w:val="00F579CD"/>
    <w:rsid w:val="00F60187"/>
    <w:rsid w:val="00F61EF6"/>
    <w:rsid w:val="00F633B4"/>
    <w:rsid w:val="00F642D7"/>
    <w:rsid w:val="00F64AA2"/>
    <w:rsid w:val="00F653B8"/>
    <w:rsid w:val="00F65A54"/>
    <w:rsid w:val="00F701EF"/>
    <w:rsid w:val="00F70270"/>
    <w:rsid w:val="00F703C6"/>
    <w:rsid w:val="00F71B89"/>
    <w:rsid w:val="00F72021"/>
    <w:rsid w:val="00F72F7D"/>
    <w:rsid w:val="00F7353C"/>
    <w:rsid w:val="00F73CBD"/>
    <w:rsid w:val="00F74086"/>
    <w:rsid w:val="00F74553"/>
    <w:rsid w:val="00F758D2"/>
    <w:rsid w:val="00F76F8F"/>
    <w:rsid w:val="00F773EA"/>
    <w:rsid w:val="00F77B35"/>
    <w:rsid w:val="00F77CC7"/>
    <w:rsid w:val="00F77EE4"/>
    <w:rsid w:val="00F82FA2"/>
    <w:rsid w:val="00F8332A"/>
    <w:rsid w:val="00F83C4F"/>
    <w:rsid w:val="00F8467A"/>
    <w:rsid w:val="00F84D86"/>
    <w:rsid w:val="00F86E4A"/>
    <w:rsid w:val="00F941DF"/>
    <w:rsid w:val="00F95029"/>
    <w:rsid w:val="00F975E4"/>
    <w:rsid w:val="00FA0CFC"/>
    <w:rsid w:val="00FA1266"/>
    <w:rsid w:val="00FA2071"/>
    <w:rsid w:val="00FA3474"/>
    <w:rsid w:val="00FA3BA9"/>
    <w:rsid w:val="00FA44AE"/>
    <w:rsid w:val="00FA5036"/>
    <w:rsid w:val="00FA5E31"/>
    <w:rsid w:val="00FB0536"/>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077"/>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F66CBEAC-83BC-4078-BE78-80B4A563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F53F52"/>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F53F52"/>
    <w:rPr>
      <w:rFonts w:ascii="Arial" w:eastAsia="Times New Roman" w:hAnsi="Arial"/>
      <w:noProof/>
      <w:lang w:eastAsia="ja-JP"/>
    </w:rPr>
  </w:style>
  <w:style w:type="paragraph" w:customStyle="1" w:styleId="Agreement">
    <w:name w:val="Agreement"/>
    <w:basedOn w:val="Normal"/>
    <w:next w:val="Doc-text2"/>
    <w:uiPriority w:val="99"/>
    <w:qFormat/>
    <w:rsid w:val="00F53F52"/>
    <w:pPr>
      <w:numPr>
        <w:numId w:val="4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D73E0-3A11-4FC4-BF93-240613FAC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Jonas Sedin</cp:lastModifiedBy>
  <cp:revision>11</cp:revision>
  <dcterms:created xsi:type="dcterms:W3CDTF">2024-11-07T10:52:00Z</dcterms:created>
  <dcterms:modified xsi:type="dcterms:W3CDTF">2024-11-08T08:37:00Z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